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B0" w:rsidRDefault="008E0EB0" w:rsidP="008E0EB0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 wp14:anchorId="655C37D1" wp14:editId="1DD6300F">
            <wp:extent cx="546735" cy="903605"/>
            <wp:effectExtent l="0" t="0" r="5715" b="0"/>
            <wp:docPr id="1" name="Рисунок 1" descr="Описание: 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EB0" w:rsidRDefault="008E0EB0" w:rsidP="008E0EB0">
      <w:pPr>
        <w:spacing w:after="0" w:line="240" w:lineRule="auto"/>
        <w:ind w:left="-720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ШЕГАРСКОГО РАЙОНА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ТОМСКОЙ ОБЛАСТИ</w:t>
      </w:r>
    </w:p>
    <w:p w:rsidR="008E0EB0" w:rsidRDefault="008E0EB0" w:rsidP="008E0EB0">
      <w:pPr>
        <w:spacing w:after="0" w:line="240" w:lineRule="auto"/>
        <w:ind w:left="-720" w:right="-366" w:firstLine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636130,Томская область Шегарский район с. Мельниково, Калинина ул., д. 51, тел. 8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247) 2-20-00, приемная 2-18-33, е-</w:t>
      </w: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hyperlink r:id="rId7" w:history="1">
        <w:r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shgadm</w:t>
        </w:r>
        <w:r>
          <w:rPr>
            <w:rStyle w:val="a4"/>
            <w:rFonts w:ascii="Times New Roman" w:eastAsia="Times New Roman" w:hAnsi="Times New Roman" w:cs="Times New Roman"/>
            <w:sz w:val="16"/>
            <w:szCs w:val="16"/>
            <w:lang w:eastAsia="ru-RU"/>
          </w:rPr>
          <w:t>@</w:t>
        </w:r>
        <w:r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tomsk</w:t>
        </w:r>
        <w:r>
          <w:rPr>
            <w:rStyle w:val="a4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gov</w:t>
        </w:r>
        <w:r>
          <w:rPr>
            <w:rStyle w:val="a4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ru</w:t>
        </w:r>
      </w:hyperlink>
    </w:p>
    <w:p w:rsidR="008E0EB0" w:rsidRDefault="008E0EB0" w:rsidP="008E0EB0">
      <w:pPr>
        <w:tabs>
          <w:tab w:val="center" w:pos="4677"/>
          <w:tab w:val="right" w:pos="9355"/>
        </w:tabs>
        <w:spacing w:line="240" w:lineRule="auto"/>
        <w:ind w:left="-72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tbl>
      <w:tblPr>
        <w:tblW w:w="9828" w:type="dxa"/>
        <w:tblLook w:val="04A0" w:firstRow="1" w:lastRow="0" w:firstColumn="1" w:lastColumn="0" w:noHBand="0" w:noVBand="1"/>
      </w:tblPr>
      <w:tblGrid>
        <w:gridCol w:w="4832"/>
        <w:gridCol w:w="1146"/>
        <w:gridCol w:w="3850"/>
      </w:tblGrid>
      <w:tr w:rsidR="008E0EB0" w:rsidTr="008E0EB0">
        <w:trPr>
          <w:trHeight w:val="767"/>
        </w:trPr>
        <w:tc>
          <w:tcPr>
            <w:tcW w:w="4832" w:type="dxa"/>
            <w:hideMark/>
          </w:tcPr>
          <w:p w:rsidR="008E0EB0" w:rsidRPr="00F35A9F" w:rsidRDefault="008E0EB0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 w:rsid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="00B22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№ ___________</w:t>
            </w:r>
          </w:p>
          <w:p w:rsidR="008E0EB0" w:rsidRPr="00F35A9F" w:rsidRDefault="008E0EB0">
            <w:pPr>
              <w:tabs>
                <w:tab w:val="left" w:pos="2268"/>
                <w:tab w:val="left" w:pos="5670"/>
              </w:tabs>
              <w:spacing w:after="160" w:line="240" w:lineRule="auto"/>
              <w:ind w:left="-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  № </w:t>
            </w:r>
            <w:r w:rsid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  от  ___________</w:t>
            </w:r>
            <w:r w:rsidRP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</w:tc>
        <w:tc>
          <w:tcPr>
            <w:tcW w:w="1146" w:type="dxa"/>
          </w:tcPr>
          <w:p w:rsidR="008E0EB0" w:rsidRPr="00F35A9F" w:rsidRDefault="008E0EB0">
            <w:pPr>
              <w:tabs>
                <w:tab w:val="left" w:pos="2268"/>
                <w:tab w:val="left" w:pos="5670"/>
              </w:tabs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0" w:type="dxa"/>
          </w:tcPr>
          <w:p w:rsidR="008E0EB0" w:rsidRPr="00F35A9F" w:rsidRDefault="008E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Начальнику экономического отдела Администрации </w:t>
            </w:r>
            <w:proofErr w:type="spellStart"/>
            <w:r w:rsidRP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Шегарского</w:t>
            </w:r>
            <w:proofErr w:type="spellEnd"/>
            <w:r w:rsidRP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8E0EB0" w:rsidRPr="00F35A9F" w:rsidRDefault="008E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И.В. </w:t>
            </w:r>
            <w:proofErr w:type="spellStart"/>
            <w:r w:rsidRP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Саушкиной</w:t>
            </w:r>
            <w:proofErr w:type="spellEnd"/>
            <w:r w:rsidRPr="00F3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E0EB0" w:rsidRDefault="008E0EB0" w:rsidP="008E0EB0">
      <w:pPr>
        <w:spacing w:after="0" w:line="312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EB0" w:rsidRPr="00096C99" w:rsidRDefault="00A86D11" w:rsidP="008E0E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Пояснительная </w:t>
      </w:r>
      <w:r w:rsidR="008E0EB0" w:rsidRPr="00096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записка</w:t>
      </w:r>
    </w:p>
    <w:p w:rsidR="008E0EB0" w:rsidRPr="00096C99" w:rsidRDefault="008E0EB0" w:rsidP="008E0E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муниципальной программы</w:t>
      </w:r>
    </w:p>
    <w:p w:rsidR="008E0EB0" w:rsidRPr="00096C99" w:rsidRDefault="008E0EB0" w:rsidP="008E0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«Профилактика правонарушений и наркомании на территории </w:t>
      </w:r>
      <w:proofErr w:type="spell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период 202</w:t>
      </w:r>
      <w:r w:rsidR="00B22938"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B22938"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в 202</w:t>
      </w:r>
      <w:r w:rsidR="00B22938"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8E0EB0" w:rsidRPr="00096C99" w:rsidRDefault="008E0EB0" w:rsidP="008E0EB0">
      <w:pPr>
        <w:spacing w:after="0" w:line="312" w:lineRule="auto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</w:p>
    <w:p w:rsidR="008E0EB0" w:rsidRPr="00096C99" w:rsidRDefault="008E0EB0" w:rsidP="008E0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Программы.</w:t>
      </w:r>
    </w:p>
    <w:p w:rsidR="008E0EB0" w:rsidRPr="00096C99" w:rsidRDefault="008E0EB0" w:rsidP="008E0E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уровня преступности и правонарушений в </w:t>
      </w:r>
      <w:proofErr w:type="spell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Шегарском</w:t>
      </w:r>
      <w:proofErr w:type="spell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районе.</w:t>
      </w:r>
    </w:p>
    <w:p w:rsidR="008E0EB0" w:rsidRPr="00096C99" w:rsidRDefault="008E0EB0" w:rsidP="008E0E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Совершенствование системы муниципального и общественного воздействия на причины и условия правонарушений и наркомании на территории </w:t>
      </w:r>
      <w:proofErr w:type="spell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</w:p>
    <w:p w:rsidR="008E0EB0" w:rsidRPr="00096C99" w:rsidRDefault="008E0EB0" w:rsidP="009022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Снижение уровня преступности, а также заболеваемости      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населения синдромом зависимости от наркотиков и алкоголя  </w:t>
      </w:r>
    </w:p>
    <w:p w:rsidR="008E0EB0" w:rsidRPr="00096C99" w:rsidRDefault="008E0EB0" w:rsidP="00902285">
      <w:p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</w:pPr>
    </w:p>
    <w:p w:rsidR="008E0EB0" w:rsidRPr="00096C99" w:rsidRDefault="008E0EB0" w:rsidP="008E0EB0">
      <w:pPr>
        <w:autoSpaceDE w:val="0"/>
        <w:autoSpaceDN w:val="0"/>
        <w:adjustRightInd w:val="0"/>
        <w:spacing w:after="0" w:line="250" w:lineRule="exact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  <w:t>Объемы и источники финансирования Программы</w:t>
      </w:r>
      <w:r w:rsidRPr="00096C99"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  <w:t>.</w:t>
      </w:r>
    </w:p>
    <w:p w:rsidR="008E0EB0" w:rsidRPr="00096C99" w:rsidRDefault="008E0EB0" w:rsidP="008E0E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Из бюджета </w:t>
      </w:r>
      <w:proofErr w:type="spellStart"/>
      <w:r w:rsidRPr="00096C99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Шегарского</w:t>
      </w:r>
      <w:proofErr w:type="spellEnd"/>
      <w:r w:rsidRPr="00096C99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района на реализацию программных мероприятий в 202</w:t>
      </w:r>
      <w:r w:rsidR="00B22938" w:rsidRPr="00096C99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4</w:t>
      </w:r>
      <w:r w:rsidRPr="00096C99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году выделено </w:t>
      </w:r>
      <w:r w:rsidR="0090004F" w:rsidRPr="00096C99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546,</w:t>
      </w:r>
      <w:r w:rsidR="00A15F56" w:rsidRPr="00096C99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>171 тыс.</w:t>
      </w:r>
      <w:r w:rsidRPr="00096C99">
        <w:rPr>
          <w:rFonts w:ascii="Times New Roman" w:eastAsia="Times New Roman" w:hAnsi="Times New Roman" w:cs="MS Reference Sans Serif"/>
          <w:sz w:val="28"/>
          <w:szCs w:val="28"/>
          <w:lang w:eastAsia="ru-RU"/>
        </w:rPr>
        <w:t xml:space="preserve"> рублей. </w:t>
      </w:r>
    </w:p>
    <w:p w:rsidR="008E0EB0" w:rsidRPr="00096C99" w:rsidRDefault="008E0EB0" w:rsidP="008E0EB0">
      <w:pPr>
        <w:autoSpaceDE w:val="0"/>
        <w:autoSpaceDN w:val="0"/>
        <w:adjustRightInd w:val="0"/>
        <w:spacing w:after="0" w:line="250" w:lineRule="exact"/>
        <w:ind w:firstLine="540"/>
        <w:jc w:val="both"/>
        <w:rPr>
          <w:rFonts w:ascii="Times New Roman" w:eastAsia="Times New Roman" w:hAnsi="Times New Roman" w:cs="MS Reference Sans Serif"/>
          <w:sz w:val="28"/>
          <w:szCs w:val="28"/>
          <w:lang w:eastAsia="ru-RU"/>
        </w:rPr>
      </w:pPr>
    </w:p>
    <w:p w:rsidR="008E0EB0" w:rsidRPr="00096C99" w:rsidRDefault="008E0EB0" w:rsidP="008E0EB0">
      <w:pPr>
        <w:autoSpaceDE w:val="0"/>
        <w:autoSpaceDN w:val="0"/>
        <w:adjustRightInd w:val="0"/>
        <w:spacing w:before="19" w:after="0" w:line="240" w:lineRule="exact"/>
        <w:jc w:val="center"/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MS Reference Sans Serif"/>
          <w:b/>
          <w:sz w:val="28"/>
          <w:szCs w:val="28"/>
          <w:lang w:eastAsia="ru-RU"/>
        </w:rPr>
        <w:t>Ожидаемые конечные результаты реализации Программы</w:t>
      </w:r>
      <w:r w:rsidRPr="00096C99">
        <w:rPr>
          <w:rFonts w:ascii="MS Reference Sans Serif" w:eastAsia="Times New Roman" w:hAnsi="MS Reference Sans Serif" w:cs="MS Reference Sans Serif"/>
          <w:b/>
          <w:sz w:val="28"/>
          <w:szCs w:val="28"/>
          <w:lang w:eastAsia="ru-RU"/>
        </w:rPr>
        <w:t>.</w:t>
      </w:r>
    </w:p>
    <w:p w:rsidR="008E0EB0" w:rsidRPr="00096C99" w:rsidRDefault="008E0EB0" w:rsidP="00902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количества зарегистрированных преступлений на  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территории </w:t>
      </w:r>
      <w:proofErr w:type="spell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</w:p>
    <w:p w:rsidR="008E0EB0" w:rsidRPr="00096C99" w:rsidRDefault="008E0EB0" w:rsidP="009022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удельного веса преступлений, совершенных на улицах и в общественных местах;   </w:t>
      </w:r>
    </w:p>
    <w:p w:rsidR="008E0EB0" w:rsidRPr="00096C99" w:rsidRDefault="008E0EB0" w:rsidP="009022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удельного веса преступлений, совершенных в состоянии        алкогольного опьянения;  </w:t>
      </w:r>
    </w:p>
    <w:p w:rsidR="008E0EB0" w:rsidRPr="00096C99" w:rsidRDefault="008E0EB0" w:rsidP="009022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 числа лиц больных наркоманией;</w:t>
      </w:r>
    </w:p>
    <w:p w:rsidR="008E0EB0" w:rsidRPr="00096C99" w:rsidRDefault="008E0EB0" w:rsidP="009022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числа несовершеннолетних, состоящих на наркологическом учете;</w:t>
      </w:r>
    </w:p>
    <w:p w:rsidR="008E0EB0" w:rsidRPr="00096C99" w:rsidRDefault="008E0EB0" w:rsidP="009022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преступлений, совершенных несовершеннолетними  или при их соучастии.   </w:t>
      </w:r>
    </w:p>
    <w:p w:rsidR="008E0EB0" w:rsidRPr="00096C99" w:rsidRDefault="008E0EB0" w:rsidP="008E0EB0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Итоги реализация программы в 202</w:t>
      </w:r>
      <w:r w:rsidR="00B22938" w:rsidRPr="00096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96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году.</w:t>
      </w:r>
    </w:p>
    <w:p w:rsidR="003232FD" w:rsidRPr="00096C99" w:rsidRDefault="003232FD" w:rsidP="00323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на реализацию данной программы из бюджета </w:t>
      </w:r>
      <w:proofErr w:type="spell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было выделено 546,171тыс</w:t>
      </w:r>
      <w:proofErr w:type="gram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ублей. Все эти средства были использованы для 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поддержки одной из ключевых инициатив программы — оказания содействия в трудоустройстве несовершеннолетних во время  каникул. Эта мера была реализована через МКУ «Управление образования </w:t>
      </w:r>
      <w:proofErr w:type="spell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района», которое занималось организацией временной занятости подростков.</w:t>
      </w:r>
    </w:p>
    <w:p w:rsidR="003232FD" w:rsidRPr="00096C99" w:rsidRDefault="003232FD" w:rsidP="003232F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предусматривала  два основных показателя, которые должны были быть достигнуты в течение её реализации. Однако в 2024 году  не все поставленные задачи оказались выполненными.</w:t>
      </w:r>
    </w:p>
    <w:p w:rsidR="003232FD" w:rsidRPr="00096C99" w:rsidRDefault="00A030DF" w:rsidP="003232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Показатели</w:t>
      </w:r>
      <w:r w:rsidR="003232FD" w:rsidRPr="00096C9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, достигнутые в 2024 году</w:t>
      </w:r>
      <w:r w:rsidR="003232FD"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32FD" w:rsidRPr="00096C99" w:rsidRDefault="003232FD" w:rsidP="003232F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Снижение количества преступлений на территории </w:t>
      </w:r>
      <w:proofErr w:type="spellStart"/>
      <w:r w:rsidRPr="00096C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Шегарского</w:t>
      </w:r>
      <w:proofErr w:type="spellEnd"/>
      <w:r w:rsidRPr="00096C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района:</w:t>
      </w:r>
    </w:p>
    <w:p w:rsidR="003232FD" w:rsidRPr="00096C99" w:rsidRDefault="003232FD" w:rsidP="00A0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Фактическое количество преступлений в 2024 году составило 226 случаев, что меньше планируемого показателя </w:t>
      </w:r>
      <w:r w:rsidR="00CD7477"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23 случая (план-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249 случаев</w:t>
      </w:r>
      <w:r w:rsidR="00CD7477"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Таким образом, эта цель была успешно достигнута</w:t>
      </w:r>
      <w:r w:rsidRPr="00096C9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232FD" w:rsidRPr="00096C99" w:rsidRDefault="00A030DF" w:rsidP="003232F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096C9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Показатели</w:t>
      </w:r>
      <w:r w:rsidR="003232FD" w:rsidRPr="00096C9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, которые остались невыполненными:</w:t>
      </w:r>
    </w:p>
    <w:p w:rsidR="003232FD" w:rsidRPr="00096C99" w:rsidRDefault="003232FD" w:rsidP="003232F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Снижение числа лиц, страдающих наркоманией:</w:t>
      </w:r>
    </w:p>
    <w:p w:rsidR="003232FD" w:rsidRPr="00096C99" w:rsidRDefault="003232FD" w:rsidP="003232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на учёте у психиатра-нарколога ОГАУЗ «</w:t>
      </w:r>
      <w:proofErr w:type="spell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Шегарская</w:t>
      </w:r>
      <w:proofErr w:type="spell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районная больница» находилось 27 человек, больных наркоманией. Планировалось снизить эту цифру до 17 человек, однако данное значение оказалось значительно выше. Следовательно, цель по снижению числа </w:t>
      </w:r>
      <w:proofErr w:type="gram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наркозависимых</w:t>
      </w:r>
      <w:proofErr w:type="gram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достигнута.</w:t>
      </w:r>
    </w:p>
    <w:p w:rsidR="003232FD" w:rsidRPr="00096C99" w:rsidRDefault="003232FD" w:rsidP="003232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096C9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Анализ выполнения мероприятий</w:t>
      </w:r>
    </w:p>
    <w:p w:rsidR="003232FD" w:rsidRPr="00096C99" w:rsidRDefault="003232FD" w:rsidP="00A03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частично успешную реализацию некоторых аспектов программы, общий анализ показал, что многие мероприятия не были выполнены в полном объёме. Это объясняется ограниченным бюджетом, который оказался недостаточен для покрытия всех запланированных расходов.</w:t>
      </w:r>
      <w:r w:rsidR="00A030DF"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несмотря на выделение значительных </w:t>
      </w:r>
      <w:proofErr w:type="gram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proofErr w:type="gram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трудоустройство несовершеннолетних, другие важные направления профилактики правонарушений и борьбы с наркоманией получили гораздо меньшее внимание. Из-за недостатка ресурсов некоторые образовательные и информационные кампании, а также профилактические акции, ориентированные на население, не смогли состояться в запланированном масштабе</w:t>
      </w:r>
      <w:r w:rsidRPr="00096C9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232FD" w:rsidRPr="00096C99" w:rsidRDefault="003232FD" w:rsidP="00323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</w:t>
      </w:r>
    </w:p>
    <w:p w:rsidR="003232FD" w:rsidRPr="00096C99" w:rsidRDefault="003232FD" w:rsidP="00A030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муниципальная программа достигла всех поставленных целей в последующие годы (2025–2026), необходимо предпринять следующие шаги:</w:t>
      </w:r>
    </w:p>
    <w:p w:rsidR="003232FD" w:rsidRPr="00096C99" w:rsidRDefault="003232FD" w:rsidP="003232F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Увеличение финансирования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32FD" w:rsidRPr="00096C99" w:rsidRDefault="003232FD" w:rsidP="003232F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полноценного выполнения всех запланированных мероприятий потребуется дополнительное финансирование. Необходимо пересмотреть бюджет программы и выделить дополнительные ресурсы, особенно </w:t>
      </w:r>
      <w:proofErr w:type="gramStart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</w:t>
      </w:r>
      <w:proofErr w:type="gramEnd"/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направления, которые оказались</w:t>
      </w:r>
      <w:r w:rsidRPr="00096C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 профинансированы в 2024 году.</w:t>
      </w:r>
    </w:p>
    <w:p w:rsidR="00D315B5" w:rsidRPr="00096C99" w:rsidRDefault="00AC65D9" w:rsidP="00D315B5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22938" w:rsidRPr="00B22938" w:rsidRDefault="00B22938" w:rsidP="00B229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ЖКХ и безопасности</w:t>
      </w:r>
      <w:r w:rsidRPr="00B2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2938" w:rsidRDefault="00B22938" w:rsidP="00B229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B2293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Шегарского</w:t>
      </w:r>
      <w:proofErr w:type="spellEnd"/>
      <w:r w:rsidRPr="00B2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</w:t>
      </w:r>
      <w:proofErr w:type="spellStart"/>
      <w:r w:rsidRPr="00B22938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И.Н.Вайс</w:t>
      </w:r>
      <w:proofErr w:type="spellEnd"/>
      <w:r w:rsidRPr="00B2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B22938" w:rsidRDefault="00B22938" w:rsidP="008E0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872" w:rsidRDefault="00434872" w:rsidP="008E0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872" w:rsidRDefault="00434872" w:rsidP="008E0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EB0" w:rsidRDefault="008E0EB0" w:rsidP="008E0E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Л.А.Матвеева</w:t>
      </w:r>
      <w:proofErr w:type="spellEnd"/>
    </w:p>
    <w:p w:rsidR="00B070DF" w:rsidRDefault="00B070DF" w:rsidP="008E0E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0DF" w:rsidRDefault="00B070DF" w:rsidP="008E0E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0DF" w:rsidRDefault="00B070DF" w:rsidP="008E0E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0DF" w:rsidRDefault="00B070DF" w:rsidP="008E0E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0DF" w:rsidRDefault="00B070DF" w:rsidP="008E0E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0DF" w:rsidRDefault="00B070DF" w:rsidP="008E0E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0DF" w:rsidRDefault="00B070DF" w:rsidP="008E0E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B070DF" w:rsidSect="00A030DF"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:rsidR="00B070DF" w:rsidRDefault="00B070DF" w:rsidP="008E0E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0DF" w:rsidRDefault="00B070DF" w:rsidP="00B070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0DF" w:rsidRPr="00B070DF" w:rsidRDefault="00B070DF" w:rsidP="00B070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70DF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Годовой отчет о ходе реализации муниципальной программы</w:t>
      </w:r>
    </w:p>
    <w:p w:rsidR="00B070DF" w:rsidRPr="00B070DF" w:rsidRDefault="00B070DF" w:rsidP="00B070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B070D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«Профилактика правонарушений и наркомании на территории </w:t>
      </w:r>
      <w:proofErr w:type="spellStart"/>
      <w:r w:rsidRPr="00B070D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Шегарского</w:t>
      </w:r>
      <w:proofErr w:type="spellEnd"/>
      <w:r w:rsidRPr="00B070D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района на период 2024-2026 годов»</w:t>
      </w:r>
    </w:p>
    <w:p w:rsidR="00B070DF" w:rsidRPr="00B070DF" w:rsidRDefault="00B070DF" w:rsidP="00B07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07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202</w:t>
      </w:r>
      <w:r w:rsidR="00A86D1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Pr="00B07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</w:t>
      </w:r>
    </w:p>
    <w:tbl>
      <w:tblPr>
        <w:tblW w:w="1617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921"/>
        <w:gridCol w:w="709"/>
        <w:gridCol w:w="624"/>
        <w:gridCol w:w="857"/>
        <w:gridCol w:w="850"/>
        <w:gridCol w:w="659"/>
        <w:gridCol w:w="737"/>
        <w:gridCol w:w="652"/>
        <w:gridCol w:w="624"/>
        <w:gridCol w:w="900"/>
        <w:gridCol w:w="822"/>
        <w:gridCol w:w="641"/>
        <w:gridCol w:w="737"/>
        <w:gridCol w:w="1457"/>
        <w:gridCol w:w="993"/>
        <w:gridCol w:w="1149"/>
        <w:gridCol w:w="1418"/>
      </w:tblGrid>
      <w:tr w:rsidR="00B070DF" w:rsidRPr="00B070DF" w:rsidTr="00B070DF">
        <w:trPr>
          <w:trHeight w:val="371"/>
        </w:trPr>
        <w:tc>
          <w:tcPr>
            <w:tcW w:w="425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921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муниципальной программы</w:t>
            </w:r>
          </w:p>
        </w:tc>
        <w:tc>
          <w:tcPr>
            <w:tcW w:w="4436" w:type="dxa"/>
            <w:gridSpan w:val="6"/>
          </w:tcPr>
          <w:p w:rsidR="00B070DF" w:rsidRPr="00B070DF" w:rsidRDefault="00B070DF" w:rsidP="00B07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год, тыс. руб.</w:t>
            </w:r>
          </w:p>
        </w:tc>
        <w:tc>
          <w:tcPr>
            <w:tcW w:w="4376" w:type="dxa"/>
            <w:gridSpan w:val="6"/>
          </w:tcPr>
          <w:p w:rsidR="00B070DF" w:rsidRPr="00B070DF" w:rsidRDefault="00B070DF" w:rsidP="00B07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599" w:type="dxa"/>
            <w:gridSpan w:val="3"/>
            <w:vMerge w:val="restart"/>
          </w:tcPr>
          <w:p w:rsidR="00B070DF" w:rsidRPr="00B070DF" w:rsidRDefault="00B070DF" w:rsidP="00B07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реализации программных мероприятий</w:t>
            </w:r>
          </w:p>
        </w:tc>
        <w:tc>
          <w:tcPr>
            <w:tcW w:w="1418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Примечание </w:t>
            </w:r>
            <w:hyperlink w:anchor="P1157" w:history="1">
              <w:r w:rsidRPr="00B070DF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&lt;**&gt;</w:t>
              </w:r>
            </w:hyperlink>
          </w:p>
        </w:tc>
      </w:tr>
      <w:tr w:rsidR="00B070DF" w:rsidRPr="00B070DF" w:rsidTr="00B070DF">
        <w:tc>
          <w:tcPr>
            <w:tcW w:w="425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7" w:type="dxa"/>
            <w:gridSpan w:val="5"/>
            <w:vAlign w:val="center"/>
          </w:tcPr>
          <w:p w:rsidR="00B070DF" w:rsidRPr="00B070DF" w:rsidRDefault="00B070DF" w:rsidP="002D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 источникам</w:t>
            </w:r>
          </w:p>
        </w:tc>
        <w:tc>
          <w:tcPr>
            <w:tcW w:w="4376" w:type="dxa"/>
            <w:gridSpan w:val="6"/>
          </w:tcPr>
          <w:p w:rsidR="00B070DF" w:rsidRPr="00B070DF" w:rsidRDefault="00B070DF" w:rsidP="002D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 источникам</w:t>
            </w:r>
          </w:p>
        </w:tc>
        <w:tc>
          <w:tcPr>
            <w:tcW w:w="3599" w:type="dxa"/>
            <w:gridSpan w:val="3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0DF" w:rsidRPr="00B070DF" w:rsidTr="00B070DF">
        <w:tc>
          <w:tcPr>
            <w:tcW w:w="425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4"/>
            <w:vAlign w:val="center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B070DF" w:rsidRPr="00B070DF" w:rsidRDefault="00B070DF" w:rsidP="002D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52" w:type="dxa"/>
            <w:vMerge w:val="restart"/>
            <w:vAlign w:val="center"/>
          </w:tcPr>
          <w:p w:rsidR="00B070DF" w:rsidRPr="00B070DF" w:rsidRDefault="00B070DF" w:rsidP="002D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87" w:type="dxa"/>
            <w:gridSpan w:val="4"/>
            <w:vAlign w:val="center"/>
          </w:tcPr>
          <w:p w:rsidR="00B070DF" w:rsidRPr="00B070DF" w:rsidRDefault="00B070DF" w:rsidP="002D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сред</w:t>
            </w:r>
            <w:bookmarkStart w:id="0" w:name="_GoBack"/>
            <w:bookmarkEnd w:id="0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737" w:type="dxa"/>
            <w:vMerge w:val="restart"/>
            <w:vAlign w:val="center"/>
          </w:tcPr>
          <w:p w:rsidR="00B070DF" w:rsidRPr="00B070DF" w:rsidRDefault="00B070DF" w:rsidP="002D7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57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показателя,</w:t>
            </w: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ед. изм.</w:t>
            </w:r>
          </w:p>
        </w:tc>
        <w:tc>
          <w:tcPr>
            <w:tcW w:w="993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годовое значение</w:t>
            </w:r>
          </w:p>
        </w:tc>
        <w:tc>
          <w:tcPr>
            <w:tcW w:w="1149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Достигнутые результаты мероприятий с начала года </w:t>
            </w:r>
            <w:hyperlink w:anchor="P1152" w:history="1">
              <w:r w:rsidRPr="00B070DF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&lt;*&gt;</w:t>
              </w:r>
            </w:hyperlink>
          </w:p>
        </w:tc>
        <w:tc>
          <w:tcPr>
            <w:tcW w:w="1418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0DF" w:rsidRPr="00B070DF" w:rsidTr="00B070DF">
        <w:trPr>
          <w:trHeight w:val="746"/>
        </w:trPr>
        <w:tc>
          <w:tcPr>
            <w:tcW w:w="425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857" w:type="dxa"/>
            <w:vAlign w:val="center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Томской области</w:t>
            </w:r>
          </w:p>
        </w:tc>
        <w:tc>
          <w:tcPr>
            <w:tcW w:w="850" w:type="dxa"/>
            <w:vAlign w:val="center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00" w:type="dxa"/>
            <w:vAlign w:val="center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Томской области</w:t>
            </w:r>
          </w:p>
        </w:tc>
        <w:tc>
          <w:tcPr>
            <w:tcW w:w="822" w:type="dxa"/>
            <w:vAlign w:val="center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41" w:type="dxa"/>
            <w:vAlign w:val="center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0DF" w:rsidRPr="00B070DF" w:rsidTr="00B070DF">
        <w:tc>
          <w:tcPr>
            <w:tcW w:w="425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750" w:type="dxa"/>
            <w:gridSpan w:val="17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муниципальной программы (подпрограммы): Снижение уровня преступности, а также заболеваемости населения синдромом зависимости от наркотиков и алкоголя.</w:t>
            </w:r>
          </w:p>
        </w:tc>
      </w:tr>
      <w:tr w:rsidR="00B070DF" w:rsidRPr="00B070DF" w:rsidTr="00B070DF">
        <w:tc>
          <w:tcPr>
            <w:tcW w:w="425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50" w:type="dxa"/>
            <w:gridSpan w:val="17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1: Совершенствование системы муниципального и общественного воздействия на причины и условия правонарушений и наркомании на территории </w:t>
            </w:r>
            <w:proofErr w:type="spellStart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района.                  </w:t>
            </w:r>
          </w:p>
        </w:tc>
      </w:tr>
      <w:tr w:rsidR="00B070DF" w:rsidRPr="00B070DF" w:rsidTr="00B070DF">
        <w:trPr>
          <w:trHeight w:val="386"/>
        </w:trPr>
        <w:tc>
          <w:tcPr>
            <w:tcW w:w="425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1.1.</w:t>
            </w:r>
          </w:p>
        </w:tc>
        <w:tc>
          <w:tcPr>
            <w:tcW w:w="1921" w:type="dxa"/>
            <w:tcBorders>
              <w:bottom w:val="nil"/>
            </w:tcBorders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(издание, тиражирование, приобретение) и распространение информационных просветительских материалов (наглядных пособий, рекомендаций, методической литературы, буклетов, плакатов, листовок, рекламных щитов, баннеров) по проблемам </w:t>
            </w:r>
            <w:proofErr w:type="gramEnd"/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соблюдения и сохранения законности и правопорядка, по противодействию </w:t>
            </w: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наркомании и алкоголизму, по пропаганде здорового образа жизни.</w:t>
            </w:r>
          </w:p>
        </w:tc>
        <w:tc>
          <w:tcPr>
            <w:tcW w:w="709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624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7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9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2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4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7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количества совершенных преступлений на территории </w:t>
            </w:r>
            <w:proofErr w:type="spellStart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Шегарского</w:t>
            </w:r>
            <w:proofErr w:type="spellEnd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993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418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 РОВД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Шегарскому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№ 47-4/7</w:t>
            </w: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от 11.02.2025 г.</w:t>
            </w:r>
          </w:p>
        </w:tc>
      </w:tr>
      <w:tr w:rsidR="00B070DF" w:rsidRPr="00B070DF" w:rsidTr="00B070DF">
        <w:trPr>
          <w:trHeight w:val="20"/>
        </w:trPr>
        <w:tc>
          <w:tcPr>
            <w:tcW w:w="425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nil"/>
            </w:tcBorders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0DF" w:rsidRPr="00B070DF" w:rsidTr="00B070DF">
        <w:trPr>
          <w:trHeight w:val="2370"/>
        </w:trPr>
        <w:tc>
          <w:tcPr>
            <w:tcW w:w="425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1.2.</w:t>
            </w:r>
          </w:p>
        </w:tc>
        <w:tc>
          <w:tcPr>
            <w:tcW w:w="1921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Премирование членов добровольных народных дружин сельских поселений за активную деятельность, проявленную по содействию сохранения правопорядка </w:t>
            </w:r>
          </w:p>
        </w:tc>
        <w:tc>
          <w:tcPr>
            <w:tcW w:w="709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7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9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2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 w:val="restart"/>
            <w:tcBorders>
              <w:top w:val="nil"/>
            </w:tcBorders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0DF" w:rsidRPr="00B070DF" w:rsidTr="00B070DF">
        <w:trPr>
          <w:trHeight w:val="797"/>
        </w:trPr>
        <w:tc>
          <w:tcPr>
            <w:tcW w:w="425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21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профилактических мероприятий для обучающихся и педагогов, направленных на профилактику наркомании, распространения наркотиков и других </w:t>
            </w:r>
            <w:proofErr w:type="spellStart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веществ, на пропаганду здорового образа жизни (в том числе в период работы летних лагерей с дневным пребыванием детей, летних смен в ДООЛ «Обская </w:t>
            </w: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волна» и летней площадки на базе ЦДТ)</w:t>
            </w:r>
          </w:p>
        </w:tc>
        <w:tc>
          <w:tcPr>
            <w:tcW w:w="709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7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9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2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0DF" w:rsidRPr="00B070DF" w:rsidTr="00B070DF">
        <w:trPr>
          <w:trHeight w:val="2937"/>
        </w:trPr>
        <w:tc>
          <w:tcPr>
            <w:tcW w:w="425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1921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Подбор, подготовка, ремонт помещений (с отдельным свободным доступом в любое время суток) для работы и приема граждан участковыми уполномоченными полиции. Материально-техническое обеспечение данных помещений</w:t>
            </w: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857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9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2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0DF" w:rsidRPr="00B070DF" w:rsidTr="00B070DF">
        <w:tc>
          <w:tcPr>
            <w:tcW w:w="425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50" w:type="dxa"/>
            <w:gridSpan w:val="17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Задача 2.Снижение уровня преступности, а также заболеваемости населения синдромом зависимости от наркотиков и алкоголя.</w:t>
            </w:r>
          </w:p>
        </w:tc>
      </w:tr>
      <w:tr w:rsidR="00B070DF" w:rsidRPr="00B070DF" w:rsidTr="00B070DF">
        <w:tc>
          <w:tcPr>
            <w:tcW w:w="425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21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трудоустройстве в каникулярное время на временные рабочие места на предприятия, учреждения всех форм собственности.</w:t>
            </w:r>
          </w:p>
        </w:tc>
        <w:tc>
          <w:tcPr>
            <w:tcW w:w="709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546,171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7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546,171</w:t>
            </w:r>
          </w:p>
        </w:tc>
        <w:tc>
          <w:tcPr>
            <w:tcW w:w="659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2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546,171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546,171</w:t>
            </w:r>
          </w:p>
        </w:tc>
        <w:tc>
          <w:tcPr>
            <w:tcW w:w="641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7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лиц, больных наркоманией </w:t>
            </w:r>
          </w:p>
        </w:tc>
        <w:tc>
          <w:tcPr>
            <w:tcW w:w="993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ОГАУЗ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«ШРБ» № 1635 от декабря 2024 г</w:t>
            </w:r>
          </w:p>
        </w:tc>
      </w:tr>
      <w:tr w:rsidR="00B070DF" w:rsidRPr="00B070DF" w:rsidTr="00B070DF">
        <w:tc>
          <w:tcPr>
            <w:tcW w:w="425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2.2</w:t>
            </w:r>
          </w:p>
        </w:tc>
        <w:tc>
          <w:tcPr>
            <w:tcW w:w="1921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Уничтожение очагов произрастания дикорастущей конопли на неразграниченных землях, находящихся в </w:t>
            </w: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и государственной собственности.</w:t>
            </w:r>
          </w:p>
        </w:tc>
        <w:tc>
          <w:tcPr>
            <w:tcW w:w="709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7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9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2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7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0DF" w:rsidRPr="00B070DF" w:rsidTr="00B070DF">
        <w:tc>
          <w:tcPr>
            <w:tcW w:w="425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546,171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7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546,171</w:t>
            </w:r>
          </w:p>
        </w:tc>
        <w:tc>
          <w:tcPr>
            <w:tcW w:w="659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2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546,171</w:t>
            </w:r>
          </w:p>
        </w:tc>
        <w:tc>
          <w:tcPr>
            <w:tcW w:w="624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546,171</w:t>
            </w:r>
          </w:p>
        </w:tc>
        <w:tc>
          <w:tcPr>
            <w:tcW w:w="641" w:type="dxa"/>
          </w:tcPr>
          <w:p w:rsidR="00B070DF" w:rsidRPr="00B070DF" w:rsidRDefault="00B070DF" w:rsidP="00B070DF">
            <w:pPr>
              <w:spacing w:after="0" w:line="240" w:lineRule="auto"/>
              <w:ind w:left="-62"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</w:tcPr>
          <w:p w:rsidR="00B070DF" w:rsidRPr="00B070DF" w:rsidRDefault="00B070DF" w:rsidP="00B07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70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7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070DF" w:rsidRPr="00B070DF" w:rsidRDefault="00B070DF" w:rsidP="00B07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070DF" w:rsidRPr="00B070DF" w:rsidRDefault="00B070DF" w:rsidP="00B070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1152"/>
      <w:bookmarkEnd w:id="1"/>
    </w:p>
    <w:p w:rsidR="00B070DF" w:rsidRPr="00B070DF" w:rsidRDefault="00B070DF" w:rsidP="00B070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7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proofErr w:type="gramStart"/>
      <w:r w:rsidRPr="00B070DF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   -   указываются   показатели   мероприятий,   предусмотренные   в  утвержденной   муниципальной программе,   в  количественном  выражении  (техническая  готовность объектов  строительства,  реконструкции,  капитального  ремонта, количество приобретенного  (установленного) 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B070DF" w:rsidRPr="00B070DF" w:rsidRDefault="00B070DF" w:rsidP="00B070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1157"/>
      <w:bookmarkEnd w:id="2"/>
      <w:r w:rsidRPr="00B07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&lt;**&gt; - графа «Примечание» обязательно заполняется по  мероприятиям,  по которым  имеется  отставание, с указанием причин отставания.</w:t>
      </w:r>
    </w:p>
    <w:p w:rsidR="00B070DF" w:rsidRPr="00B070DF" w:rsidRDefault="00B070DF" w:rsidP="00B070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0DF" w:rsidRPr="00B070DF" w:rsidRDefault="00B070DF" w:rsidP="00B070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70DF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Куратор МП ______________ _____________________ ________________</w:t>
      </w:r>
    </w:p>
    <w:p w:rsidR="00B070DF" w:rsidRPr="00B070DF" w:rsidRDefault="00B070DF" w:rsidP="00B070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7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подпись     (расшифровка подписи)        дата</w:t>
      </w:r>
    </w:p>
    <w:p w:rsidR="00B070DF" w:rsidRPr="00B070DF" w:rsidRDefault="00B070DF" w:rsidP="00B070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0DF" w:rsidRPr="00B070DF" w:rsidRDefault="00B070DF" w:rsidP="00B070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70DF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 _____________ _____________________ ________________</w:t>
      </w:r>
    </w:p>
    <w:p w:rsidR="00B070DF" w:rsidRPr="00B070DF" w:rsidRDefault="00B070DF" w:rsidP="00B070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7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подпись     (расшифровка подписи)        дата</w:t>
      </w:r>
    </w:p>
    <w:p w:rsidR="00B070DF" w:rsidRDefault="00B070DF" w:rsidP="008E0E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B070DF" w:rsidSect="00B070DF">
      <w:pgSz w:w="16838" w:h="11906" w:orient="landscape"/>
      <w:pgMar w:top="1134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0BCA"/>
    <w:multiLevelType w:val="multilevel"/>
    <w:tmpl w:val="CCCA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D74E4B"/>
    <w:multiLevelType w:val="multilevel"/>
    <w:tmpl w:val="A5121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EC215D"/>
    <w:multiLevelType w:val="multilevel"/>
    <w:tmpl w:val="2AB81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3A"/>
    <w:rsid w:val="00096C99"/>
    <w:rsid w:val="00114E2C"/>
    <w:rsid w:val="001A7B3A"/>
    <w:rsid w:val="0022582D"/>
    <w:rsid w:val="002358F7"/>
    <w:rsid w:val="002B20A3"/>
    <w:rsid w:val="002D76E0"/>
    <w:rsid w:val="003232FD"/>
    <w:rsid w:val="0038569E"/>
    <w:rsid w:val="003E647B"/>
    <w:rsid w:val="00434872"/>
    <w:rsid w:val="00525FEC"/>
    <w:rsid w:val="006245DA"/>
    <w:rsid w:val="00691C43"/>
    <w:rsid w:val="008732CA"/>
    <w:rsid w:val="008E0EB0"/>
    <w:rsid w:val="0090004F"/>
    <w:rsid w:val="00902285"/>
    <w:rsid w:val="00A030DF"/>
    <w:rsid w:val="00A15F56"/>
    <w:rsid w:val="00A70267"/>
    <w:rsid w:val="00A86D11"/>
    <w:rsid w:val="00AC1B0A"/>
    <w:rsid w:val="00AC65D9"/>
    <w:rsid w:val="00B070DF"/>
    <w:rsid w:val="00B22938"/>
    <w:rsid w:val="00B33FB2"/>
    <w:rsid w:val="00C736C2"/>
    <w:rsid w:val="00CD7477"/>
    <w:rsid w:val="00D207EF"/>
    <w:rsid w:val="00D315B5"/>
    <w:rsid w:val="00F35A9F"/>
    <w:rsid w:val="00F4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8E0E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4">
    <w:name w:val="Hyperlink"/>
    <w:basedOn w:val="a0"/>
    <w:uiPriority w:val="99"/>
    <w:unhideWhenUsed/>
    <w:rsid w:val="008E0EB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8E0E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4">
    <w:name w:val="Hyperlink"/>
    <w:basedOn w:val="a0"/>
    <w:uiPriority w:val="99"/>
    <w:unhideWhenUsed/>
    <w:rsid w:val="008E0EB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hgadm@toms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Саушкина</cp:lastModifiedBy>
  <cp:revision>5</cp:revision>
  <cp:lastPrinted>2025-03-06T05:01:00Z</cp:lastPrinted>
  <dcterms:created xsi:type="dcterms:W3CDTF">2025-03-12T04:07:00Z</dcterms:created>
  <dcterms:modified xsi:type="dcterms:W3CDTF">2025-03-12T05:00:00Z</dcterms:modified>
</cp:coreProperties>
</file>