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DD64DC" w:rsidRDefault="005D7735"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157269">
        <w:rPr>
          <w:rFonts w:ascii="Times New Roman" w:eastAsia="Times New Roman" w:hAnsi="Times New Roman" w:cs="Times New Roman"/>
          <w:sz w:val="20"/>
          <w:szCs w:val="20"/>
          <w:lang w:eastAsia="ru-RU"/>
        </w:rPr>
        <w:t xml:space="preserve">                                  </w:t>
      </w:r>
      <w:r w:rsidR="006F3EA3"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95354E">
        <w:rPr>
          <w:rFonts w:ascii="Times New Roman" w:eastAsia="Times New Roman" w:hAnsi="Times New Roman" w:cs="Times New Roman"/>
          <w:sz w:val="20"/>
          <w:szCs w:val="20"/>
          <w:lang w:eastAsia="ru-RU"/>
        </w:rPr>
        <w:t>24.12.</w:t>
      </w:r>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w:t>
      </w:r>
      <w:r w:rsidR="0095354E">
        <w:rPr>
          <w:rFonts w:ascii="Times New Roman" w:eastAsia="Times New Roman" w:hAnsi="Times New Roman" w:cs="Times New Roman"/>
          <w:sz w:val="20"/>
          <w:szCs w:val="20"/>
          <w:lang w:eastAsia="ru-RU"/>
        </w:rPr>
        <w:t>1294</w:t>
      </w: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bookmarkStart w:id="1" w:name="_GoBack"/>
      <w:bookmarkEnd w:id="1"/>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8"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95354E" w:rsidP="009C008D">
      <w:pPr>
        <w:pStyle w:val="11"/>
        <w:jc w:val="both"/>
        <w:rPr>
          <w:rFonts w:ascii="Times New Roman" w:hAnsi="Times New Roman" w:cs="Times New Roman"/>
          <w:noProof/>
          <w:sz w:val="28"/>
          <w:szCs w:val="28"/>
          <w:lang w:eastAsia="ru-RU"/>
        </w:rPr>
      </w:pPr>
      <w:hyperlink r:id="rId9"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95354E" w:rsidP="009C008D">
      <w:pPr>
        <w:pStyle w:val="21"/>
        <w:rPr>
          <w:rFonts w:ascii="Times New Roman" w:hAnsi="Times New Roman" w:cs="Times New Roman"/>
          <w:noProof/>
          <w:sz w:val="28"/>
          <w:szCs w:val="28"/>
          <w:lang w:eastAsia="ru-RU"/>
        </w:rPr>
      </w:pPr>
      <w:hyperlink r:id="rId10"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95354E" w:rsidP="009C008D">
      <w:pPr>
        <w:pStyle w:val="21"/>
        <w:rPr>
          <w:rFonts w:ascii="Times New Roman" w:hAnsi="Times New Roman" w:cs="Times New Roman"/>
          <w:noProof/>
          <w:sz w:val="28"/>
          <w:szCs w:val="28"/>
          <w:lang w:eastAsia="ru-RU"/>
        </w:rPr>
      </w:pPr>
      <w:hyperlink r:id="rId11"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95354E" w:rsidP="009C008D">
      <w:pPr>
        <w:pStyle w:val="21"/>
        <w:rPr>
          <w:rFonts w:ascii="Times New Roman" w:hAnsi="Times New Roman" w:cs="Times New Roman"/>
          <w:noProof/>
          <w:sz w:val="24"/>
          <w:szCs w:val="24"/>
          <w:lang w:eastAsia="ru-RU"/>
        </w:rPr>
      </w:pPr>
      <w:hyperlink r:id="rId12"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95354E" w:rsidP="009C008D">
      <w:pPr>
        <w:pStyle w:val="21"/>
        <w:rPr>
          <w:rFonts w:ascii="Times New Roman" w:hAnsi="Times New Roman" w:cs="Times New Roman"/>
          <w:noProof/>
          <w:sz w:val="28"/>
          <w:szCs w:val="28"/>
          <w:lang w:eastAsia="ru-RU"/>
        </w:rPr>
      </w:pPr>
      <w:hyperlink r:id="rId13"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95354E" w:rsidP="009C008D">
      <w:pPr>
        <w:pStyle w:val="21"/>
        <w:rPr>
          <w:rFonts w:ascii="Times New Roman" w:hAnsi="Times New Roman" w:cs="Times New Roman"/>
          <w:noProof/>
          <w:sz w:val="28"/>
          <w:szCs w:val="28"/>
          <w:lang w:eastAsia="ru-RU"/>
        </w:rPr>
      </w:pPr>
      <w:hyperlink r:id="rId14"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2"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3"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2"/>
      <w:bookmarkEnd w:id="3"/>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4" w:name="_Toc375654233"/>
      <w:bookmarkEnd w:id="0"/>
      <w:r w:rsidRPr="00DD64DC">
        <w:rPr>
          <w:rFonts w:ascii="Times New Roman" w:hAnsi="Times New Roman" w:cs="Times New Roman"/>
          <w:b/>
          <w:bCs/>
          <w:caps/>
          <w:color w:val="auto"/>
          <w:kern w:val="32"/>
          <w:lang w:eastAsia="ru-RU"/>
        </w:rPr>
        <w:t>муниципальнАЯ программа «Развитие образования В ШЕГАРСКОМ РАЙОНЕна 2020-2024 годы</w:t>
      </w:r>
      <w:bookmarkEnd w:id="4"/>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5" w:name="_Toc375654234"/>
      <w:r w:rsidRPr="00DD64DC">
        <w:rPr>
          <w:b/>
          <w:bCs/>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5D2E48" w:rsidRPr="005D2E48">
              <w:rPr>
                <w:rFonts w:ascii="Times New Roman" w:eastAsia="Times New Roman" w:hAnsi="Times New Roman" w:cs="Times New Roman"/>
                <w:color w:val="000000"/>
                <w:sz w:val="24"/>
                <w:szCs w:val="24"/>
                <w:lang w:eastAsia="ru-RU"/>
              </w:rPr>
              <w:t>491997,459</w:t>
            </w:r>
            <w:r w:rsidR="005D2E48">
              <w:rPr>
                <w:rFonts w:ascii="Times New Roman" w:eastAsia="Times New Roman" w:hAnsi="Times New Roman" w:cs="Times New Roman"/>
                <w:color w:val="000000"/>
                <w:sz w:val="24"/>
                <w:szCs w:val="24"/>
                <w:lang w:eastAsia="ru-RU"/>
              </w:rPr>
              <w:t xml:space="preserve"> </w:t>
            </w:r>
            <w:r w:rsidRPr="00DD64DC">
              <w:rPr>
                <w:rFonts w:ascii="Times New Roman" w:hAnsi="Times New Roman" w:cs="Times New Roman"/>
                <w:sz w:val="24"/>
                <w:szCs w:val="24"/>
                <w:lang w:eastAsia="ru-RU"/>
              </w:rPr>
              <w:t>тыс. рублей, в том числе за счет</w:t>
            </w:r>
            <w:r w:rsidR="008A5A9A" w:rsidRPr="00DD64DC">
              <w:rPr>
                <w:rFonts w:ascii="Times New Roman" w:hAnsi="Times New Roman" w:cs="Times New Roman"/>
                <w:sz w:val="24"/>
                <w:szCs w:val="24"/>
                <w:lang w:eastAsia="ru-RU"/>
              </w:rPr>
              <w:t xml:space="preserve"> средств</w:t>
            </w:r>
            <w:r w:rsidRPr="00DD64DC">
              <w:rPr>
                <w:rFonts w:ascii="Times New Roman" w:hAnsi="Times New Roman" w:cs="Times New Roman"/>
                <w:sz w:val="24"/>
                <w:szCs w:val="24"/>
                <w:lang w:eastAsia="ru-RU"/>
              </w:rPr>
              <w:t xml:space="preserve"> </w:t>
            </w:r>
            <w:r w:rsidR="008A5A9A"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5D2E48" w:rsidRPr="005D2E48">
              <w:rPr>
                <w:rFonts w:ascii="Times New Roman" w:eastAsia="Times New Roman" w:hAnsi="Times New Roman" w:cs="Times New Roman"/>
                <w:color w:val="000000"/>
                <w:sz w:val="24"/>
                <w:szCs w:val="24"/>
                <w:lang w:eastAsia="ru-RU"/>
              </w:rPr>
              <w:t>85712,81</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 xml:space="preserve">средств </w:t>
            </w:r>
            <w:r w:rsidRPr="00DD64DC">
              <w:rPr>
                <w:rFonts w:ascii="Times New Roman" w:hAnsi="Times New Roman" w:cs="Times New Roman"/>
                <w:sz w:val="24"/>
                <w:szCs w:val="24"/>
                <w:lang w:eastAsia="ru-RU"/>
              </w:rPr>
              <w:t xml:space="preserve">областного бюджета - </w:t>
            </w:r>
            <w:r w:rsidR="005D2E48" w:rsidRPr="005D2E48">
              <w:rPr>
                <w:rFonts w:ascii="Times New Roman" w:hAnsi="Times New Roman" w:cs="Times New Roman"/>
                <w:sz w:val="24"/>
                <w:szCs w:val="24"/>
                <w:lang w:eastAsia="ru-RU"/>
              </w:rPr>
              <w:t>214182,074</w:t>
            </w:r>
            <w:r w:rsidR="005D2E48">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средств</w:t>
            </w:r>
            <w:r w:rsidRPr="00DD64DC">
              <w:rPr>
                <w:rFonts w:ascii="Times New Roman" w:hAnsi="Times New Roman" w:cs="Times New Roman"/>
                <w:sz w:val="24"/>
                <w:szCs w:val="24"/>
                <w:lang w:eastAsia="ru-RU"/>
              </w:rPr>
              <w:t xml:space="preserve"> федерального бюджета -  </w:t>
            </w:r>
            <w:r w:rsidR="005D2E48" w:rsidRPr="005D2E48">
              <w:rPr>
                <w:rFonts w:ascii="Times New Roman" w:hAnsi="Times New Roman" w:cs="Times New Roman"/>
                <w:sz w:val="24"/>
                <w:szCs w:val="24"/>
                <w:lang w:eastAsia="ru-RU"/>
              </w:rPr>
              <w:t>192102,575</w:t>
            </w:r>
            <w:r w:rsidR="005D2E48">
              <w:rPr>
                <w:rFonts w:ascii="Times New Roman" w:hAnsi="Times New Roman" w:cs="Times New Roman"/>
                <w:sz w:val="24"/>
                <w:szCs w:val="24"/>
                <w:lang w:eastAsia="ru-RU"/>
              </w:rPr>
              <w:t>.</w:t>
            </w:r>
          </w:p>
          <w:p w:rsidR="008A5A9A"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A5A9A" w:rsidRPr="00DD64DC"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8A5A9A" w:rsidRPr="00DD64DC"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2255B0" w:rsidP="008A5A9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местного</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8A5A9A" w:rsidRPr="00DD64DC" w:rsidTr="002F4AE4">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8A5A9A" w:rsidRPr="00DD64DC" w:rsidTr="002F4AE4">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5D2E48" w:rsidRPr="00DD64DC" w:rsidTr="005D7735">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2020 г.</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334109,15</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13222,7</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185500,88</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135385,57</w:t>
                  </w:r>
                </w:p>
              </w:tc>
            </w:tr>
            <w:tr w:rsidR="005D2E48" w:rsidRPr="00DD64DC" w:rsidTr="005D7735">
              <w:trPr>
                <w:trHeight w:val="497"/>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2021 г.</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59552,433</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8438</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14993,394</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36121,039</w:t>
                  </w:r>
                </w:p>
              </w:tc>
            </w:tr>
            <w:tr w:rsidR="005D2E48" w:rsidRPr="00DD64DC" w:rsidTr="005D7735">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2022 г.</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60027,876</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30919,11</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8512,8</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20595,966</w:t>
                  </w:r>
                </w:p>
              </w:tc>
            </w:tr>
            <w:tr w:rsidR="005D2E48" w:rsidRPr="00DD64DC" w:rsidTr="005D7735">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2023 г.</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22595</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19490</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3105</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0</w:t>
                  </w:r>
                </w:p>
              </w:tc>
            </w:tr>
            <w:tr w:rsidR="005D2E48" w:rsidRPr="00DD64DC" w:rsidTr="005D7735">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2024 г.</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15713</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13643</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2070</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0</w:t>
                  </w:r>
                </w:p>
              </w:tc>
            </w:tr>
            <w:tr w:rsidR="005D2E48" w:rsidRPr="00DD64DC" w:rsidTr="005D7735">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5D2E48" w:rsidRPr="0027272A" w:rsidRDefault="005D2E48" w:rsidP="005D2E48">
                  <w:pPr>
                    <w:rPr>
                      <w:rFonts w:ascii="Times New Roman" w:eastAsia="Times New Roman" w:hAnsi="Times New Roman" w:cs="Times New Roman"/>
                      <w:color w:val="000000"/>
                      <w:sz w:val="20"/>
                      <w:szCs w:val="20"/>
                      <w:lang w:eastAsia="ru-RU"/>
                    </w:rPr>
                  </w:pPr>
                  <w:r w:rsidRPr="0027272A">
                    <w:rPr>
                      <w:rFonts w:ascii="Times New Roman" w:eastAsia="Times New Roman" w:hAnsi="Times New Roman" w:cs="Times New Roman"/>
                      <w:color w:val="000000"/>
                      <w:sz w:val="20"/>
                      <w:szCs w:val="20"/>
                      <w:lang w:eastAsia="ru-RU"/>
                    </w:rPr>
                    <w:t>Итого:</w:t>
                  </w:r>
                </w:p>
              </w:tc>
              <w:tc>
                <w:tcPr>
                  <w:tcW w:w="1476"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491997,459</w:t>
                  </w:r>
                </w:p>
              </w:tc>
              <w:tc>
                <w:tcPr>
                  <w:tcW w:w="164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85712,81</w:t>
                  </w:r>
                </w:p>
              </w:tc>
              <w:tc>
                <w:tcPr>
                  <w:tcW w:w="1510"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214182,074</w:t>
                  </w:r>
                </w:p>
              </w:tc>
              <w:tc>
                <w:tcPr>
                  <w:tcW w:w="1427" w:type="dxa"/>
                  <w:tcBorders>
                    <w:top w:val="nil"/>
                    <w:left w:val="nil"/>
                    <w:bottom w:val="single" w:sz="8" w:space="0" w:color="auto"/>
                    <w:right w:val="single" w:sz="8" w:space="0" w:color="auto"/>
                  </w:tcBorders>
                  <w:shd w:val="clear" w:color="auto" w:fill="auto"/>
                  <w:hideMark/>
                </w:tcPr>
                <w:p w:rsidR="005D2E48" w:rsidRPr="005D2E48" w:rsidRDefault="005D2E48" w:rsidP="005D2E48">
                  <w:pPr>
                    <w:rPr>
                      <w:rFonts w:ascii="Times New Roman" w:eastAsia="Times New Roman" w:hAnsi="Times New Roman" w:cs="Times New Roman"/>
                      <w:color w:val="000000"/>
                      <w:sz w:val="20"/>
                      <w:szCs w:val="20"/>
                      <w:lang w:eastAsia="ru-RU"/>
                    </w:rPr>
                  </w:pPr>
                  <w:r w:rsidRPr="005D2E48">
                    <w:rPr>
                      <w:rFonts w:ascii="Times New Roman" w:eastAsia="Times New Roman" w:hAnsi="Times New Roman" w:cs="Times New Roman"/>
                      <w:color w:val="000000"/>
                      <w:sz w:val="20"/>
                      <w:szCs w:val="20"/>
                      <w:lang w:eastAsia="ru-RU"/>
                    </w:rPr>
                    <w:t>192102,575</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EE4BD8" w:rsidRPr="00DD64DC">
              <w:rPr>
                <w:rFonts w:ascii="Times New Roman" w:hAnsi="Times New Roman" w:cs="Times New Roman"/>
                <w:sz w:val="24"/>
                <w:szCs w:val="24"/>
                <w:lang w:eastAsia="ru-RU"/>
              </w:rPr>
              <w:t xml:space="preserve">164244,455 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C677A5" w:rsidRPr="00DD64DC">
              <w:rPr>
                <w:rFonts w:ascii="Times New Roman" w:hAnsi="Times New Roman" w:cs="Times New Roman"/>
                <w:sz w:val="24"/>
                <w:szCs w:val="24"/>
                <w:lang w:eastAsia="ru-RU"/>
              </w:rPr>
              <w:t>56551,43</w:t>
            </w:r>
            <w:r w:rsidRPr="00DD64DC">
              <w:rPr>
                <w:rFonts w:ascii="Times New Roman" w:hAnsi="Times New Roman" w:cs="Times New Roman"/>
                <w:sz w:val="24"/>
                <w:szCs w:val="24"/>
                <w:lang w:eastAsia="ru-RU"/>
              </w:rPr>
              <w:t xml:space="preserve">тыс. руб., за счет средств областного бюджета </w:t>
            </w:r>
            <w:r w:rsidR="00A132FD" w:rsidRPr="00DD64DC">
              <w:rPr>
                <w:rFonts w:ascii="Times New Roman" w:hAnsi="Times New Roman" w:cs="Times New Roman"/>
                <w:sz w:val="24"/>
                <w:szCs w:val="24"/>
                <w:lang w:eastAsia="ru-RU"/>
              </w:rPr>
              <w:t>91593,687</w:t>
            </w:r>
            <w:r w:rsidRPr="00DD64DC">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A132FD" w:rsidRPr="00DD64DC">
              <w:rPr>
                <w:rFonts w:ascii="Times New Roman" w:hAnsi="Times New Roman" w:cs="Times New Roman"/>
                <w:sz w:val="24"/>
                <w:szCs w:val="24"/>
                <w:lang w:eastAsia="ru-RU"/>
              </w:rPr>
              <w:t>16</w:t>
            </w:r>
            <w:r w:rsidR="007B6D96" w:rsidRPr="00DD64DC">
              <w:rPr>
                <w:rFonts w:ascii="Times New Roman" w:hAnsi="Times New Roman" w:cs="Times New Roman"/>
                <w:sz w:val="24"/>
                <w:szCs w:val="24"/>
                <w:lang w:eastAsia="ru-RU"/>
              </w:rPr>
              <w:t>205</w:t>
            </w:r>
            <w:r w:rsidR="00A132FD" w:rsidRPr="00DD64DC">
              <w:rPr>
                <w:rFonts w:ascii="Times New Roman" w:hAnsi="Times New Roman" w:cs="Times New Roman"/>
                <w:sz w:val="24"/>
                <w:szCs w:val="24"/>
                <w:lang w:eastAsia="ru-RU"/>
              </w:rPr>
              <w:t>,032</w:t>
            </w:r>
            <w:r w:rsidR="00EE4BD8" w:rsidRPr="00DD64DC">
              <w:rPr>
                <w:rFonts w:ascii="Times New Roman" w:hAnsi="Times New Roman" w:cs="Times New Roman"/>
                <w:sz w:val="24"/>
                <w:szCs w:val="24"/>
                <w:lang w:eastAsia="ru-RU"/>
              </w:rPr>
              <w:t xml:space="preserve"> 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DD64DC"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EE4BD8" w:rsidP="00A14429">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w:t>
                  </w:r>
                  <w:r w:rsidR="00A14429">
                    <w:rPr>
                      <w:rFonts w:ascii="Times New Roman" w:hAnsi="Times New Roman" w:cs="Times New Roman"/>
                      <w:sz w:val="24"/>
                      <w:szCs w:val="24"/>
                      <w:lang w:eastAsia="ru-RU"/>
                    </w:rPr>
                    <w:t>6</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EE4BD8" w:rsidP="00F949F5">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w:t>
                  </w:r>
                  <w:r w:rsidR="00F949F5">
                    <w:rPr>
                      <w:rFonts w:ascii="Times New Roman" w:hAnsi="Times New Roman" w:cs="Times New Roman"/>
                      <w:sz w:val="24"/>
                      <w:szCs w:val="24"/>
                      <w:lang w:eastAsia="ru-RU"/>
                    </w:rPr>
                    <w:t>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w:t>
      </w:r>
      <w:r w:rsidR="0032343E" w:rsidRPr="00DD64DC">
        <w:rPr>
          <w:rFonts w:ascii="Times New Roman" w:hAnsi="Times New Roman" w:cs="Times New Roman"/>
          <w:sz w:val="24"/>
          <w:szCs w:val="24"/>
          <w:lang w:eastAsia="ru-RU"/>
        </w:rPr>
        <w:t>воспитанниками являются 672</w:t>
      </w:r>
      <w:r w:rsidRPr="00DD64DC">
        <w:rPr>
          <w:rFonts w:ascii="Times New Roman" w:hAnsi="Times New Roman" w:cs="Times New Roman"/>
          <w:sz w:val="24"/>
          <w:szCs w:val="24"/>
          <w:lang w:eastAsia="ru-RU"/>
        </w:rPr>
        <w:t xml:space="preserve">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w:t>
      </w:r>
      <w:r w:rsidR="0032343E" w:rsidRPr="00DD64DC">
        <w:rPr>
          <w:rFonts w:ascii="Times New Roman" w:hAnsi="Times New Roman" w:cs="Times New Roman"/>
          <w:sz w:val="24"/>
          <w:szCs w:val="24"/>
          <w:lang w:eastAsia="ru-RU"/>
        </w:rPr>
        <w:t>предполагает прирост</w:t>
      </w:r>
      <w:r w:rsidRPr="00DD64DC">
        <w:rPr>
          <w:rFonts w:ascii="Times New Roman" w:hAnsi="Times New Roman" w:cs="Times New Roman"/>
          <w:sz w:val="24"/>
          <w:szCs w:val="24"/>
          <w:lang w:eastAsia="ru-RU"/>
        </w:rPr>
        <w:t xml:space="preserve"> на 0,35%.</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w:t>
      </w:r>
      <w:r w:rsidR="0032343E" w:rsidRPr="00DD64DC">
        <w:rPr>
          <w:rFonts w:ascii="Times New Roman" w:hAnsi="Times New Roman" w:cs="Times New Roman"/>
          <w:sz w:val="24"/>
          <w:szCs w:val="24"/>
          <w:lang w:eastAsia="ru-RU"/>
        </w:rPr>
        <w:t>санузла</w:t>
      </w: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w:t>
      </w:r>
      <w:r w:rsidR="0032343E" w:rsidRPr="00DD64DC">
        <w:rPr>
          <w:rFonts w:ascii="Times New Roman" w:hAnsi="Times New Roman" w:cs="Times New Roman"/>
          <w:sz w:val="24"/>
          <w:szCs w:val="24"/>
          <w:lang w:eastAsia="ru-RU"/>
        </w:rPr>
        <w:t>строительство теневых</w:t>
      </w:r>
      <w:r w:rsidR="003B2B97" w:rsidRPr="00DD64DC">
        <w:rPr>
          <w:rFonts w:ascii="Times New Roman" w:hAnsi="Times New Roman" w:cs="Times New Roman"/>
          <w:sz w:val="24"/>
          <w:szCs w:val="24"/>
          <w:lang w:eastAsia="ru-RU"/>
        </w:rPr>
        <w:t xml:space="preserve">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w:t>
      </w:r>
      <w:r w:rsidR="00091A62">
        <w:rPr>
          <w:rFonts w:ascii="Times New Roman" w:hAnsi="Times New Roman" w:cs="Times New Roman"/>
          <w:sz w:val="24"/>
          <w:szCs w:val="24"/>
        </w:rPr>
        <w:t xml:space="preserve"> </w:t>
      </w:r>
      <w:r w:rsidR="00886906" w:rsidRPr="00DD64DC">
        <w:rPr>
          <w:rFonts w:ascii="Times New Roman" w:hAnsi="Times New Roman" w:cs="Times New Roman"/>
          <w:sz w:val="24"/>
          <w:szCs w:val="24"/>
        </w:rPr>
        <w:t>«Шегарский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w:t>
      </w:r>
      <w:r w:rsidR="0032343E" w:rsidRPr="00DD64DC">
        <w:rPr>
          <w:rFonts w:ascii="Times New Roman" w:hAnsi="Times New Roman" w:cs="Times New Roman"/>
          <w:sz w:val="24"/>
          <w:szCs w:val="24"/>
          <w:lang w:eastAsia="ru-RU"/>
        </w:rPr>
        <w:t>и замена</w:t>
      </w:r>
      <w:r w:rsidRPr="00DD64DC">
        <w:rPr>
          <w:rFonts w:ascii="Times New Roman" w:hAnsi="Times New Roman" w:cs="Times New Roman"/>
          <w:sz w:val="24"/>
          <w:szCs w:val="24"/>
          <w:lang w:eastAsia="ru-RU"/>
        </w:rPr>
        <w:t xml:space="preserve">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4533C0">
        <w:rPr>
          <w:rFonts w:ascii="Times New Roman" w:hAnsi="Times New Roman" w:cs="Times New Roman"/>
          <w:sz w:val="24"/>
          <w:szCs w:val="24"/>
        </w:rPr>
        <w:t>, 2021</w:t>
      </w:r>
      <w:r w:rsidRPr="00DD64DC">
        <w:rPr>
          <w:rFonts w:ascii="Times New Roman" w:hAnsi="Times New Roman" w:cs="Times New Roman"/>
          <w:sz w:val="24"/>
          <w:szCs w:val="24"/>
        </w:rPr>
        <w:t xml:space="preserve"> год</w:t>
      </w:r>
      <w:r w:rsidR="004533C0">
        <w:rPr>
          <w:rFonts w:ascii="Times New Roman" w:hAnsi="Times New Roman" w:cs="Times New Roman"/>
          <w:sz w:val="24"/>
          <w:szCs w:val="24"/>
        </w:rPr>
        <w:t>а</w:t>
      </w:r>
      <w:r w:rsidRPr="00DD64DC">
        <w:rPr>
          <w:rFonts w:ascii="Times New Roman" w:hAnsi="Times New Roman" w:cs="Times New Roman"/>
          <w:sz w:val="24"/>
          <w:szCs w:val="24"/>
        </w:rPr>
        <w:t>.</w:t>
      </w:r>
    </w:p>
    <w:p w:rsidR="00EE4BD8" w:rsidRPr="00DD64DC" w:rsidRDefault="00EE4BD8"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2020-2024 годы составит 164244,455 тыс. руб., в том числе за счет средств федерального бюджета 56551,43тыс. руб., за счет средств областного бюджета 91593,687 тыс. руб., за счет средств муниципального бюджета 16205,032 тыс.  рублей.</w:t>
      </w:r>
    </w:p>
    <w:p w:rsidR="00C677A5" w:rsidRPr="00DD64DC"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EE4BD8" w:rsidRPr="00DD64DC" w:rsidTr="00EE4BD8">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EE4BD8" w:rsidRPr="00DD64DC" w:rsidTr="00EE4BD8">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091A62">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w:t>
            </w:r>
            <w:r w:rsidR="00091A62">
              <w:rPr>
                <w:rFonts w:ascii="Times New Roman" w:hAnsi="Times New Roman" w:cs="Times New Roman"/>
                <w:sz w:val="24"/>
                <w:szCs w:val="24"/>
                <w:lang w:eastAsia="ru-RU"/>
              </w:rPr>
              <w:t>6</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091A62">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w:t>
            </w:r>
            <w:r w:rsidR="00091A62">
              <w:rPr>
                <w:rFonts w:ascii="Times New Roman" w:hAnsi="Times New Roman" w:cs="Times New Roman"/>
                <w:sz w:val="24"/>
                <w:szCs w:val="24"/>
                <w:lang w:eastAsia="ru-RU"/>
              </w:rPr>
              <w:t>9</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C677A5"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C677A5" w:rsidRPr="00DD64DC" w:rsidRDefault="00C677A5"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0708AD">
          <w:headerReference w:type="default" r:id="rId16"/>
          <w:pgSz w:w="11906" w:h="16838"/>
          <w:pgMar w:top="709"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6989,28929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38747,55</w:t>
            </w:r>
            <w:r w:rsidR="0032343E">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3843,708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3,84</w:t>
            </w:r>
            <w:r w:rsidR="0032343E">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934,57</w:t>
            </w:r>
            <w:r w:rsidR="0032343E">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в ДОУ, соблюдение требований Сан ПиН 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164244,455</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91593,687</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16099,428</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7"/>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706"/>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B70B4C"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A129E" w:rsidRPr="00DA129E">
              <w:rPr>
                <w:rFonts w:ascii="Times New Roman" w:hAnsi="Times New Roman" w:cs="Times New Roman"/>
                <w:sz w:val="24"/>
                <w:szCs w:val="24"/>
                <w:lang w:eastAsia="ru-RU"/>
              </w:rPr>
              <w:t>283717,94</w:t>
            </w:r>
            <w:r w:rsidR="00DA129E">
              <w:rPr>
                <w:rFonts w:ascii="Times New Roman" w:hAnsi="Times New Roman" w:cs="Times New Roman"/>
                <w:sz w:val="24"/>
                <w:szCs w:val="24"/>
                <w:lang w:eastAsia="ru-RU"/>
              </w:rPr>
              <w:t xml:space="preserve"> </w:t>
            </w:r>
            <w:r w:rsidRPr="00B70B4C">
              <w:rPr>
                <w:rFonts w:ascii="Times New Roman" w:hAnsi="Times New Roman" w:cs="Times New Roman"/>
                <w:sz w:val="24"/>
                <w:szCs w:val="24"/>
                <w:lang w:eastAsia="ru-RU"/>
              </w:rPr>
              <w:t xml:space="preserve">тыс. рублей, в том числе за счет средств федерального бюджета </w:t>
            </w:r>
            <w:r w:rsidR="00DA129E" w:rsidRPr="00DA129E">
              <w:rPr>
                <w:rFonts w:ascii="Times New Roman" w:hAnsi="Times New Roman" w:cs="Times New Roman"/>
                <w:sz w:val="24"/>
                <w:szCs w:val="24"/>
                <w:lang w:eastAsia="ru-RU"/>
              </w:rPr>
              <w:t>97810,41</w:t>
            </w:r>
            <w:r w:rsidRPr="00B70B4C">
              <w:rPr>
                <w:rFonts w:ascii="Times New Roman" w:hAnsi="Times New Roman" w:cs="Times New Roman"/>
                <w:sz w:val="24"/>
                <w:szCs w:val="24"/>
                <w:lang w:eastAsia="ru-RU"/>
              </w:rPr>
              <w:t xml:space="preserve">тыс. руб., за счет областного бюджета – </w:t>
            </w:r>
            <w:r w:rsidR="00DA129E" w:rsidRPr="00DA129E">
              <w:rPr>
                <w:rFonts w:ascii="Times New Roman" w:hAnsi="Times New Roman" w:cs="Times New Roman"/>
                <w:sz w:val="24"/>
                <w:szCs w:val="24"/>
                <w:lang w:eastAsia="ru-RU"/>
              </w:rPr>
              <w:t>121765,01</w:t>
            </w:r>
            <w:r w:rsidRPr="00B70B4C">
              <w:rPr>
                <w:rFonts w:ascii="Times New Roman" w:hAnsi="Times New Roman" w:cs="Times New Roman"/>
                <w:sz w:val="24"/>
                <w:szCs w:val="24"/>
                <w:lang w:eastAsia="ru-RU"/>
              </w:rPr>
              <w:t xml:space="preserve">тыс. рублей,  за счет </w:t>
            </w:r>
            <w:r w:rsidR="00722FB0">
              <w:rPr>
                <w:rFonts w:ascii="Times New Roman" w:hAnsi="Times New Roman" w:cs="Times New Roman"/>
                <w:sz w:val="24"/>
                <w:szCs w:val="24"/>
                <w:lang w:eastAsia="ru-RU"/>
              </w:rPr>
              <w:t>муниципального</w:t>
            </w:r>
            <w:r w:rsidRPr="00B70B4C">
              <w:rPr>
                <w:rFonts w:ascii="Times New Roman" w:hAnsi="Times New Roman" w:cs="Times New Roman"/>
                <w:sz w:val="24"/>
                <w:szCs w:val="24"/>
                <w:lang w:eastAsia="ru-RU"/>
              </w:rPr>
              <w:t xml:space="preserve"> бюджета – </w:t>
            </w:r>
            <w:r w:rsidR="00DA129E" w:rsidRPr="00DA129E">
              <w:rPr>
                <w:rFonts w:ascii="Times New Roman" w:hAnsi="Times New Roman" w:cs="Times New Roman"/>
                <w:sz w:val="24"/>
                <w:szCs w:val="24"/>
                <w:lang w:eastAsia="ru-RU"/>
              </w:rPr>
              <w:t>64142,52</w:t>
            </w:r>
            <w:r w:rsidR="00DA129E">
              <w:rPr>
                <w:rFonts w:ascii="Times New Roman" w:hAnsi="Times New Roman" w:cs="Times New Roman"/>
                <w:sz w:val="24"/>
                <w:szCs w:val="24"/>
                <w:lang w:eastAsia="ru-RU"/>
              </w:rPr>
              <w:t xml:space="preserve"> </w:t>
            </w:r>
            <w:r w:rsidRPr="00B70B4C">
              <w:rPr>
                <w:rFonts w:ascii="Times New Roman" w:hAnsi="Times New Roman" w:cs="Times New Roman"/>
                <w:sz w:val="24"/>
                <w:szCs w:val="24"/>
                <w:lang w:eastAsia="ru-RU"/>
              </w:rPr>
              <w:t xml:space="preserve">тыс. рублей, </w:t>
            </w:r>
          </w:p>
          <w:p w:rsidR="00B70B4C" w:rsidRPr="00B70B4C"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B70B4C" w:rsidRPr="00B70B4C" w:rsidTr="00722FB0">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 том числе:</w:t>
                  </w:r>
                </w:p>
              </w:tc>
            </w:tr>
            <w:tr w:rsidR="00B70B4C" w:rsidRPr="00B70B4C" w:rsidTr="00DA129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Средства </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муниципального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областного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федерального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бюджета</w:t>
                  </w:r>
                </w:p>
              </w:tc>
            </w:tr>
            <w:tr w:rsidR="00DA129E" w:rsidRPr="00B70B4C" w:rsidTr="00DA129E">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180081,50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9407,80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98402,60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72271,10</w:t>
                  </w:r>
                </w:p>
              </w:tc>
            </w:tr>
            <w:tr w:rsidR="00DA129E" w:rsidRPr="00B70B4C" w:rsidTr="00DA129E">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39063,50</w:t>
                  </w:r>
                </w:p>
              </w:tc>
              <w:tc>
                <w:tcPr>
                  <w:tcW w:w="1933" w:type="dxa"/>
                  <w:tcBorders>
                    <w:top w:val="nil"/>
                    <w:left w:val="single" w:sz="4" w:space="0" w:color="auto"/>
                    <w:bottom w:val="nil"/>
                    <w:right w:val="single" w:sz="4" w:space="0" w:color="auto"/>
                  </w:tcBorders>
                  <w:shd w:val="clear" w:color="auto" w:fill="auto"/>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8258,61</w:t>
                  </w:r>
                </w:p>
              </w:tc>
              <w:tc>
                <w:tcPr>
                  <w:tcW w:w="1363" w:type="dxa"/>
                  <w:tcBorders>
                    <w:top w:val="nil"/>
                    <w:left w:val="single" w:sz="4" w:space="0" w:color="auto"/>
                    <w:bottom w:val="nil"/>
                    <w:right w:val="single" w:sz="4" w:space="0" w:color="auto"/>
                  </w:tcBorders>
                  <w:shd w:val="clear" w:color="auto" w:fill="auto"/>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10018,81</w:t>
                  </w:r>
                </w:p>
              </w:tc>
              <w:tc>
                <w:tcPr>
                  <w:tcW w:w="1630" w:type="dxa"/>
                  <w:tcBorders>
                    <w:top w:val="nil"/>
                    <w:left w:val="single" w:sz="4" w:space="0" w:color="auto"/>
                    <w:bottom w:val="nil"/>
                    <w:right w:val="single" w:sz="4" w:space="0" w:color="auto"/>
                  </w:tcBorders>
                  <w:shd w:val="clear" w:color="auto" w:fill="auto"/>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20786,08</w:t>
                  </w:r>
                </w:p>
              </w:tc>
            </w:tr>
            <w:tr w:rsidR="00DA129E" w:rsidRPr="00B70B4C" w:rsidTr="00DA129E">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8168,60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4753,23</w:t>
                  </w:r>
                </w:p>
              </w:tc>
            </w:tr>
            <w:tr w:rsidR="00DA129E" w:rsidRPr="00B70B4C" w:rsidTr="00DA129E">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16020,00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3105,00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0,00</w:t>
                  </w:r>
                </w:p>
              </w:tc>
            </w:tr>
            <w:tr w:rsidR="00DA129E" w:rsidRPr="00B70B4C" w:rsidTr="00DA129E">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13075,00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2070,00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0,00</w:t>
                  </w:r>
                </w:p>
              </w:tc>
            </w:tr>
            <w:tr w:rsidR="00DA129E" w:rsidRPr="00B70B4C" w:rsidTr="00DA129E">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DA129E">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283717,94</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64142,52</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121765,01</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DA129E">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97810,41</w:t>
                  </w:r>
                </w:p>
              </w:tc>
            </w:tr>
          </w:tbl>
          <w:p w:rsidR="003B2B97" w:rsidRPr="00DD64DC"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A7F34" w:rsidTr="00EA6934">
        <w:tc>
          <w:tcPr>
            <w:tcW w:w="4041"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2024</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Провести капитальный ремонт столовой МКОУ «Маркеловская СОШ», а</w:t>
      </w:r>
      <w:r w:rsidR="003B2B97" w:rsidRPr="00DD64DC">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w:t>
      </w:r>
      <w:r w:rsidR="00B2258F">
        <w:rPr>
          <w:rFonts w:ascii="Times New Roman" w:hAnsi="Times New Roman" w:cs="Times New Roman"/>
          <w:sz w:val="24"/>
          <w:szCs w:val="24"/>
          <w:lang w:eastAsia="ru-RU"/>
        </w:rPr>
        <w:t>;</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B2258F" w:rsidRPr="00DD64D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B2258F">
        <w:rPr>
          <w:rFonts w:ascii="Times New Roman" w:hAnsi="Times New Roman" w:cs="Times New Roman"/>
          <w:sz w:val="24"/>
          <w:szCs w:val="24"/>
          <w:lang w:eastAsia="ru-RU"/>
        </w:rPr>
        <w:t>снащение спортивного зала МКОУ «Трубачевская ООШ»</w:t>
      </w:r>
      <w:r w:rsidR="003F3257">
        <w:rPr>
          <w:rFonts w:ascii="Times New Roman" w:hAnsi="Times New Roman" w:cs="Times New Roman"/>
          <w:sz w:val="24"/>
          <w:szCs w:val="24"/>
          <w:lang w:eastAsia="ru-RU"/>
        </w:rPr>
        <w:t xml:space="preserve"> и приобретение спортивного инвентаря</w:t>
      </w:r>
      <w:r>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санузлов в МКОУ «Вороновская </w:t>
      </w:r>
      <w:r w:rsidR="00B2258F">
        <w:rPr>
          <w:rFonts w:ascii="Times New Roman" w:hAnsi="Times New Roman" w:cs="Times New Roman"/>
          <w:sz w:val="24"/>
          <w:szCs w:val="24"/>
          <w:lang w:eastAsia="ru-RU"/>
        </w:rPr>
        <w:t>Н</w:t>
      </w:r>
      <w:r w:rsidRPr="00DD64DC">
        <w:rPr>
          <w:rFonts w:ascii="Times New Roman" w:hAnsi="Times New Roman" w:cs="Times New Roman"/>
          <w:sz w:val="24"/>
          <w:szCs w:val="24"/>
          <w:lang w:eastAsia="ru-RU"/>
        </w:rPr>
        <w:t>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r w:rsidR="003F3257">
        <w:rPr>
          <w:rFonts w:ascii="Times New Roman" w:hAnsi="Times New Roman" w:cs="Times New Roman"/>
          <w:sz w:val="24"/>
          <w:szCs w:val="24"/>
          <w:lang w:eastAsia="ru-RU"/>
        </w:rPr>
        <w:t>МКОУ «Шегарская СОШ № 2».</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установка теневых навесов в ГДО МКОУ «Баткатская СОШ», ГДО МКОУ «Трубачевская СОШ»</w:t>
      </w:r>
      <w:r w:rsidR="00B2258F">
        <w:rPr>
          <w:rFonts w:ascii="Times New Roman" w:hAnsi="Times New Roman" w:cs="Times New Roman"/>
          <w:sz w:val="24"/>
          <w:szCs w:val="24"/>
          <w:lang w:eastAsia="ru-RU"/>
        </w:rPr>
        <w:t>;</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r w:rsidR="00B2258F">
        <w:rPr>
          <w:rFonts w:ascii="Times New Roman" w:hAnsi="Times New Roman" w:cs="Times New Roman"/>
          <w:sz w:val="24"/>
          <w:szCs w:val="24"/>
          <w:lang w:eastAsia="ru-RU"/>
        </w:rPr>
        <w:t>;</w:t>
      </w:r>
    </w:p>
    <w:p w:rsidR="00CA1823"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B2258F">
        <w:rPr>
          <w:rFonts w:ascii="Times New Roman" w:hAnsi="Times New Roman" w:cs="Times New Roman"/>
          <w:sz w:val="24"/>
          <w:szCs w:val="24"/>
          <w:lang w:eastAsia="ru-RU"/>
        </w:rPr>
        <w:t>снащение спортивного зала МКОУ «Трубачевская ООШ»</w:t>
      </w:r>
      <w:r>
        <w:rPr>
          <w:rFonts w:ascii="Times New Roman" w:hAnsi="Times New Roman" w:cs="Times New Roman"/>
          <w:sz w:val="24"/>
          <w:szCs w:val="24"/>
          <w:lang w:eastAsia="ru-RU"/>
        </w:rPr>
        <w:t>;</w:t>
      </w:r>
    </w:p>
    <w:p w:rsidR="00F56A54" w:rsidRPr="00DD64DC"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F56A54">
        <w:rPr>
          <w:rFonts w:ascii="Times New Roman" w:hAnsi="Times New Roman" w:cs="Times New Roman"/>
          <w:sz w:val="24"/>
          <w:szCs w:val="24"/>
          <w:lang w:eastAsia="ru-RU"/>
        </w:rPr>
        <w:t>бследование технического состояния строительных конструкций здания МКОУ "Баткатская СОШ"</w:t>
      </w:r>
      <w:r>
        <w:rPr>
          <w:rFonts w:ascii="Times New Roman" w:hAnsi="Times New Roman" w:cs="Times New Roman"/>
          <w:sz w:val="24"/>
          <w:szCs w:val="24"/>
          <w:lang w:eastAsia="ru-RU"/>
        </w:rPr>
        <w:t>;</w:t>
      </w:r>
      <w:r w:rsidRPr="00F56A54">
        <w:rPr>
          <w:rFonts w:ascii="Times New Roman" w:hAnsi="Times New Roman" w:cs="Times New Roman"/>
          <w:sz w:val="24"/>
          <w:szCs w:val="24"/>
          <w:lang w:eastAsia="ru-RU"/>
        </w:rPr>
        <w:t xml:space="preserve">  </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Pr>
          <w:rFonts w:ascii="Times New Roman" w:hAnsi="Times New Roman" w:cs="Times New Roman"/>
          <w:sz w:val="24"/>
          <w:szCs w:val="24"/>
          <w:lang w:eastAsia="ru-RU"/>
        </w:rPr>
        <w:t>;</w:t>
      </w:r>
    </w:p>
    <w:p w:rsidR="00B2258F"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56B1A">
        <w:rPr>
          <w:rFonts w:ascii="Times New Roman" w:hAnsi="Times New Roman" w:cs="Times New Roman"/>
          <w:sz w:val="24"/>
          <w:szCs w:val="24"/>
          <w:lang w:eastAsia="ru-RU"/>
        </w:rPr>
        <w:t>п</w:t>
      </w:r>
      <w:r w:rsidRPr="00B2258F">
        <w:rPr>
          <w:rFonts w:ascii="Times New Roman" w:hAnsi="Times New Roman" w:cs="Times New Roman"/>
          <w:sz w:val="24"/>
          <w:szCs w:val="24"/>
          <w:lang w:eastAsia="ru-RU"/>
        </w:rPr>
        <w:t>риобретение дымососа в котельную МКОУ «Трубачевская ООШ»</w:t>
      </w:r>
      <w:r>
        <w:rPr>
          <w:rFonts w:ascii="Times New Roman" w:hAnsi="Times New Roman" w:cs="Times New Roman"/>
          <w:sz w:val="24"/>
          <w:szCs w:val="24"/>
          <w:lang w:eastAsia="ru-RU"/>
        </w:rPr>
        <w:t>.</w:t>
      </w:r>
    </w:p>
    <w:p w:rsidR="006E6350"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выполнение ремонта части кровли в МКОУ «Трубачевская ООШ»</w:t>
      </w:r>
      <w:r w:rsidR="00656B1A">
        <w:rPr>
          <w:rFonts w:ascii="Times New Roman" w:hAnsi="Times New Roman" w:cs="Times New Roman"/>
          <w:sz w:val="24"/>
          <w:szCs w:val="24"/>
          <w:lang w:eastAsia="ru-RU"/>
        </w:rPr>
        <w:t>;</w:t>
      </w:r>
    </w:p>
    <w:p w:rsidR="00656B1A"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выполнение капитального ремонта пола в столовой МКОУ «Трубачевская ООШ»;</w:t>
      </w:r>
    </w:p>
    <w:p w:rsidR="00CA1823" w:rsidRPr="00CA1823"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выполнение к</w:t>
      </w:r>
      <w:r w:rsidRPr="00CA1823">
        <w:rPr>
          <w:rFonts w:ascii="Times New Roman" w:hAnsi="Times New Roman" w:cs="Times New Roman"/>
          <w:sz w:val="24"/>
          <w:szCs w:val="24"/>
          <w:lang w:eastAsia="ru-RU"/>
        </w:rPr>
        <w:t>апитальн</w:t>
      </w:r>
      <w:r>
        <w:rPr>
          <w:rFonts w:ascii="Times New Roman" w:hAnsi="Times New Roman" w:cs="Times New Roman"/>
          <w:sz w:val="24"/>
          <w:szCs w:val="24"/>
          <w:lang w:eastAsia="ru-RU"/>
        </w:rPr>
        <w:t>ого</w:t>
      </w:r>
      <w:r w:rsidRPr="00CA1823">
        <w:rPr>
          <w:rFonts w:ascii="Times New Roman" w:hAnsi="Times New Roman" w:cs="Times New Roman"/>
          <w:sz w:val="24"/>
          <w:szCs w:val="24"/>
          <w:lang w:eastAsia="ru-RU"/>
        </w:rPr>
        <w:t xml:space="preserve"> ремонт</w:t>
      </w:r>
      <w:r>
        <w:rPr>
          <w:rFonts w:ascii="Times New Roman" w:hAnsi="Times New Roman" w:cs="Times New Roman"/>
          <w:sz w:val="24"/>
          <w:szCs w:val="24"/>
          <w:lang w:eastAsia="ru-RU"/>
        </w:rPr>
        <w:t>а</w:t>
      </w:r>
      <w:r w:rsidRPr="00CA1823">
        <w:rPr>
          <w:rFonts w:ascii="Times New Roman" w:hAnsi="Times New Roman" w:cs="Times New Roman"/>
          <w:sz w:val="24"/>
          <w:szCs w:val="24"/>
          <w:lang w:eastAsia="ru-RU"/>
        </w:rPr>
        <w:t xml:space="preserve"> системы отопления МКОУ «Вороновская НОШ»</w:t>
      </w:r>
      <w:r w:rsidR="00DA129E">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r w:rsidR="001C5204">
        <w:rPr>
          <w:rFonts w:ascii="Times New Roman" w:hAnsi="Times New Roman" w:cs="Times New Roman"/>
          <w:sz w:val="24"/>
          <w:szCs w:val="24"/>
          <w:lang w:eastAsia="ru-RU"/>
        </w:rPr>
        <w:t>, поощрение призеров ВСОШ призами.</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885986" w:rsidRDefault="003B2B97" w:rsidP="0088598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DA129E" w:rsidRPr="00B70B4C" w:rsidRDefault="00DA129E" w:rsidP="00DA129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DA129E">
        <w:rPr>
          <w:rFonts w:ascii="Times New Roman" w:hAnsi="Times New Roman" w:cs="Times New Roman"/>
          <w:sz w:val="24"/>
          <w:szCs w:val="24"/>
          <w:lang w:eastAsia="ru-RU"/>
        </w:rPr>
        <w:t>283717,94</w:t>
      </w:r>
      <w:r>
        <w:rPr>
          <w:rFonts w:ascii="Times New Roman" w:hAnsi="Times New Roman" w:cs="Times New Roman"/>
          <w:sz w:val="24"/>
          <w:szCs w:val="24"/>
          <w:lang w:eastAsia="ru-RU"/>
        </w:rPr>
        <w:t xml:space="preserve"> </w:t>
      </w:r>
      <w:r w:rsidRPr="00B70B4C">
        <w:rPr>
          <w:rFonts w:ascii="Times New Roman" w:hAnsi="Times New Roman" w:cs="Times New Roman"/>
          <w:sz w:val="24"/>
          <w:szCs w:val="24"/>
          <w:lang w:eastAsia="ru-RU"/>
        </w:rPr>
        <w:t xml:space="preserve">тыс. рублей, в том числе за счет средств федерального бюджета </w:t>
      </w:r>
      <w:r w:rsidRPr="00DA129E">
        <w:rPr>
          <w:rFonts w:ascii="Times New Roman" w:hAnsi="Times New Roman" w:cs="Times New Roman"/>
          <w:sz w:val="24"/>
          <w:szCs w:val="24"/>
          <w:lang w:eastAsia="ru-RU"/>
        </w:rPr>
        <w:t>97810,41</w:t>
      </w:r>
      <w:r w:rsidRPr="00B70B4C">
        <w:rPr>
          <w:rFonts w:ascii="Times New Roman" w:hAnsi="Times New Roman" w:cs="Times New Roman"/>
          <w:sz w:val="24"/>
          <w:szCs w:val="24"/>
          <w:lang w:eastAsia="ru-RU"/>
        </w:rPr>
        <w:t xml:space="preserve">тыс. руб., за счет областного бюджета – </w:t>
      </w:r>
      <w:r w:rsidRPr="00DA129E">
        <w:rPr>
          <w:rFonts w:ascii="Times New Roman" w:hAnsi="Times New Roman" w:cs="Times New Roman"/>
          <w:sz w:val="24"/>
          <w:szCs w:val="24"/>
          <w:lang w:eastAsia="ru-RU"/>
        </w:rPr>
        <w:t>121765,01</w:t>
      </w:r>
      <w:r w:rsidRPr="00B70B4C">
        <w:rPr>
          <w:rFonts w:ascii="Times New Roman" w:hAnsi="Times New Roman" w:cs="Times New Roman"/>
          <w:sz w:val="24"/>
          <w:szCs w:val="24"/>
          <w:lang w:eastAsia="ru-RU"/>
        </w:rPr>
        <w:t xml:space="preserve">тыс. рублей,  за счет </w:t>
      </w:r>
      <w:r>
        <w:rPr>
          <w:rFonts w:ascii="Times New Roman" w:hAnsi="Times New Roman" w:cs="Times New Roman"/>
          <w:sz w:val="24"/>
          <w:szCs w:val="24"/>
          <w:lang w:eastAsia="ru-RU"/>
        </w:rPr>
        <w:t>муниципального</w:t>
      </w:r>
      <w:r w:rsidRPr="00B70B4C">
        <w:rPr>
          <w:rFonts w:ascii="Times New Roman" w:hAnsi="Times New Roman" w:cs="Times New Roman"/>
          <w:sz w:val="24"/>
          <w:szCs w:val="24"/>
          <w:lang w:eastAsia="ru-RU"/>
        </w:rPr>
        <w:t xml:space="preserve"> бюджета – </w:t>
      </w:r>
      <w:r w:rsidRPr="00DA129E">
        <w:rPr>
          <w:rFonts w:ascii="Times New Roman" w:hAnsi="Times New Roman" w:cs="Times New Roman"/>
          <w:sz w:val="24"/>
          <w:szCs w:val="24"/>
          <w:lang w:eastAsia="ru-RU"/>
        </w:rPr>
        <w:t>64142,52</w:t>
      </w:r>
      <w:r>
        <w:rPr>
          <w:rFonts w:ascii="Times New Roman" w:hAnsi="Times New Roman" w:cs="Times New Roman"/>
          <w:sz w:val="24"/>
          <w:szCs w:val="24"/>
          <w:lang w:eastAsia="ru-RU"/>
        </w:rPr>
        <w:t xml:space="preserve"> </w:t>
      </w:r>
      <w:r w:rsidRPr="00B70B4C">
        <w:rPr>
          <w:rFonts w:ascii="Times New Roman" w:hAnsi="Times New Roman" w:cs="Times New Roman"/>
          <w:sz w:val="24"/>
          <w:szCs w:val="24"/>
          <w:lang w:eastAsia="ru-RU"/>
        </w:rPr>
        <w:t xml:space="preserve">тыс. рублей, </w:t>
      </w:r>
    </w:p>
    <w:p w:rsidR="00DA129E" w:rsidRPr="00B70B4C" w:rsidRDefault="00DA129E" w:rsidP="00DA129E">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DA129E" w:rsidRPr="00B70B4C" w:rsidTr="005D77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 том числе:</w:t>
            </w:r>
          </w:p>
        </w:tc>
      </w:tr>
      <w:tr w:rsidR="00DA129E" w:rsidRPr="00B70B4C" w:rsidTr="005D773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Средства </w:t>
            </w:r>
          </w:p>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муниципального</w:t>
            </w:r>
          </w:p>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областного</w:t>
            </w:r>
          </w:p>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федерального</w:t>
            </w:r>
          </w:p>
          <w:p w:rsidR="00DA129E" w:rsidRPr="00B70B4C" w:rsidRDefault="00DA129E" w:rsidP="005D7735">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бюджета</w:t>
            </w:r>
          </w:p>
        </w:tc>
      </w:tr>
      <w:tr w:rsidR="00DA129E" w:rsidRPr="00B70B4C" w:rsidTr="005D7735">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180081,50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9407,80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98402,60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72271,10</w:t>
            </w:r>
          </w:p>
        </w:tc>
      </w:tr>
      <w:tr w:rsidR="00DA129E" w:rsidRPr="00B70B4C" w:rsidTr="005D7735">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39063,50</w:t>
            </w:r>
          </w:p>
        </w:tc>
        <w:tc>
          <w:tcPr>
            <w:tcW w:w="1933" w:type="dxa"/>
            <w:tcBorders>
              <w:top w:val="nil"/>
              <w:left w:val="single" w:sz="4" w:space="0" w:color="auto"/>
              <w:bottom w:val="nil"/>
              <w:right w:val="single" w:sz="4" w:space="0" w:color="auto"/>
            </w:tcBorders>
            <w:shd w:val="clear" w:color="auto" w:fill="auto"/>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8258,61</w:t>
            </w:r>
          </w:p>
        </w:tc>
        <w:tc>
          <w:tcPr>
            <w:tcW w:w="1363" w:type="dxa"/>
            <w:tcBorders>
              <w:top w:val="nil"/>
              <w:left w:val="single" w:sz="4" w:space="0" w:color="auto"/>
              <w:bottom w:val="nil"/>
              <w:right w:val="single" w:sz="4" w:space="0" w:color="auto"/>
            </w:tcBorders>
            <w:shd w:val="clear" w:color="auto" w:fill="auto"/>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10018,81</w:t>
            </w:r>
          </w:p>
        </w:tc>
        <w:tc>
          <w:tcPr>
            <w:tcW w:w="1630" w:type="dxa"/>
            <w:tcBorders>
              <w:top w:val="nil"/>
              <w:left w:val="single" w:sz="4" w:space="0" w:color="auto"/>
              <w:bottom w:val="nil"/>
              <w:right w:val="single" w:sz="4" w:space="0" w:color="auto"/>
            </w:tcBorders>
            <w:shd w:val="clear" w:color="auto" w:fill="auto"/>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20786,08</w:t>
            </w:r>
          </w:p>
        </w:tc>
      </w:tr>
      <w:tr w:rsidR="00DA129E" w:rsidRPr="00B70B4C" w:rsidTr="005D7735">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8168,60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4753,23</w:t>
            </w:r>
          </w:p>
        </w:tc>
      </w:tr>
      <w:tr w:rsidR="00DA129E" w:rsidRPr="00B70B4C" w:rsidTr="005D7735">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16020,00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3105,00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0,00</w:t>
            </w:r>
          </w:p>
        </w:tc>
      </w:tr>
      <w:tr w:rsidR="00DA129E" w:rsidRPr="00B70B4C" w:rsidTr="005D7735">
        <w:trPr>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13075,00</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2070,00</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0,00</w:t>
            </w:r>
          </w:p>
        </w:tc>
      </w:tr>
      <w:tr w:rsidR="00DA129E" w:rsidRPr="00B70B4C" w:rsidTr="005D7735">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DA129E" w:rsidRPr="00722FB0" w:rsidRDefault="00DA129E" w:rsidP="005D7735">
            <w:pPr>
              <w:rPr>
                <w:rFonts w:ascii="Times New Roman" w:hAnsi="Times New Roman" w:cs="Times New Roman"/>
                <w:sz w:val="24"/>
                <w:szCs w:val="24"/>
                <w:lang w:eastAsia="ru-RU"/>
              </w:rPr>
            </w:pPr>
            <w:r w:rsidRPr="00722FB0">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283717,94</w:t>
            </w:r>
          </w:p>
        </w:tc>
        <w:tc>
          <w:tcPr>
            <w:tcW w:w="193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64142,52</w:t>
            </w:r>
          </w:p>
        </w:tc>
        <w:tc>
          <w:tcPr>
            <w:tcW w:w="1363"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121765,01</w:t>
            </w:r>
          </w:p>
        </w:tc>
        <w:tc>
          <w:tcPr>
            <w:tcW w:w="1630" w:type="dxa"/>
            <w:tcBorders>
              <w:top w:val="single" w:sz="4" w:space="0" w:color="auto"/>
              <w:left w:val="single" w:sz="4" w:space="0" w:color="auto"/>
              <w:bottom w:val="single" w:sz="4" w:space="0" w:color="auto"/>
              <w:right w:val="single" w:sz="4" w:space="0" w:color="auto"/>
            </w:tcBorders>
          </w:tcPr>
          <w:p w:rsidR="00DA129E" w:rsidRPr="00DA129E" w:rsidRDefault="00DA129E" w:rsidP="005D7735">
            <w:pPr>
              <w:rPr>
                <w:rFonts w:ascii="Times New Roman" w:hAnsi="Times New Roman" w:cs="Times New Roman"/>
                <w:sz w:val="24"/>
                <w:szCs w:val="24"/>
                <w:lang w:eastAsia="ru-RU"/>
              </w:rPr>
            </w:pPr>
            <w:r w:rsidRPr="00DA129E">
              <w:rPr>
                <w:rFonts w:ascii="Times New Roman" w:hAnsi="Times New Roman" w:cs="Times New Roman"/>
                <w:sz w:val="24"/>
                <w:szCs w:val="24"/>
                <w:lang w:eastAsia="ru-RU"/>
              </w:rPr>
              <w:t>97810,41</w:t>
            </w:r>
          </w:p>
        </w:tc>
      </w:tr>
    </w:tbl>
    <w:p w:rsidR="00DA129E" w:rsidRDefault="00DA129E" w:rsidP="00885986">
      <w:pPr>
        <w:tabs>
          <w:tab w:val="left" w:pos="1134"/>
        </w:tabs>
        <w:spacing w:after="0" w:line="240" w:lineRule="auto"/>
        <w:ind w:left="1429" w:right="-1"/>
        <w:jc w:val="both"/>
        <w:rPr>
          <w:rFonts w:ascii="Times New Roman" w:hAnsi="Times New Roman" w:cs="Times New Roman"/>
          <w:sz w:val="24"/>
          <w:szCs w:val="24"/>
          <w:lang w:eastAsia="ru-RU"/>
        </w:rPr>
      </w:pPr>
    </w:p>
    <w:p w:rsidR="00885986" w:rsidRPr="00DD64DC" w:rsidRDefault="00DA129E" w:rsidP="00DA129E">
      <w:pPr>
        <w:tabs>
          <w:tab w:val="left" w:pos="1134"/>
        </w:tabs>
        <w:spacing w:after="0" w:line="240" w:lineRule="auto"/>
        <w:ind w:right="-1" w:firstLine="709"/>
        <w:jc w:val="both"/>
        <w:rPr>
          <w:rFonts w:ascii="Times New Roman" w:hAnsi="Times New Roman" w:cs="Times New Roman"/>
          <w:b/>
          <w:bCs/>
          <w:sz w:val="24"/>
          <w:szCs w:val="24"/>
        </w:rPr>
      </w:pPr>
      <w:r w:rsidRPr="00B70B4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1C5204" w:rsidP="009C008D">
            <w:pPr>
              <w:jc w:val="center"/>
              <w:rPr>
                <w:rFonts w:ascii="Times New Roman" w:hAnsi="Times New Roman" w:cs="Times New Roman"/>
              </w:rPr>
            </w:pPr>
            <w:r>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1C5204" w:rsidP="009C008D">
            <w:pPr>
              <w:jc w:val="center"/>
              <w:rPr>
                <w:rFonts w:ascii="Times New Roman" w:hAnsi="Times New Roman" w:cs="Times New Roman"/>
              </w:rPr>
            </w:pPr>
            <w:r>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r w:rsidR="00A851A0">
              <w:rPr>
                <w:rFonts w:ascii="Times New Roman" w:hAnsi="Times New Roman" w:cs="Times New Roman"/>
              </w:rPr>
              <w:t xml:space="preserve">, </w:t>
            </w:r>
            <w:r w:rsidR="00A851A0" w:rsidRPr="00DD64DC">
              <w:rPr>
                <w:rFonts w:ascii="Times New Roman" w:hAnsi="Times New Roman" w:cs="Times New Roman"/>
              </w:rPr>
              <w:t>МКОУ «Шегарская СОШ № 1», МКОУ «Шегарская СОШ № 2»</w:t>
            </w:r>
            <w:r w:rsidR="00A851A0">
              <w:rPr>
                <w:rFonts w:ascii="Times New Roman" w:hAnsi="Times New Roman" w:cs="Times New Roman"/>
              </w:rPr>
              <w:t>, МКОУ «Маркеловская СОШ»</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C8265C" w:rsidP="00FC51F5">
            <w:pPr>
              <w:widowControl w:val="0"/>
              <w:autoSpaceDE w:val="0"/>
              <w:autoSpaceDN w:val="0"/>
              <w:adjustRightInd w:val="0"/>
              <w:jc w:val="center"/>
              <w:rPr>
                <w:rFonts w:ascii="Times New Roman" w:hAnsi="Times New Roman" w:cs="Times New Roman"/>
              </w:rPr>
            </w:pPr>
            <w:r>
              <w:rPr>
                <w:rFonts w:ascii="Times New Roman" w:hAnsi="Times New Roman" w:cs="Times New Roman"/>
              </w:rPr>
              <w:t>1630,491</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C8265C" w:rsidP="00FC51F5">
            <w:pPr>
              <w:widowControl w:val="0"/>
              <w:autoSpaceDE w:val="0"/>
              <w:autoSpaceDN w:val="0"/>
              <w:adjustRightInd w:val="0"/>
              <w:jc w:val="center"/>
              <w:rPr>
                <w:rFonts w:ascii="Times New Roman" w:hAnsi="Times New Roman" w:cs="Times New Roman"/>
              </w:rPr>
            </w:pPr>
            <w:r>
              <w:rPr>
                <w:rFonts w:ascii="Times New Roman" w:hAnsi="Times New Roman" w:cs="Times New Roman"/>
              </w:rPr>
              <w:t>1581,576</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C8265C"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48,915</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75922"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345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3207,309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345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3111,090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345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96,219</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345DCF" w:rsidP="00A223A4">
            <w:pPr>
              <w:widowControl w:val="0"/>
              <w:autoSpaceDE w:val="0"/>
              <w:autoSpaceDN w:val="0"/>
              <w:adjustRightInd w:val="0"/>
              <w:jc w:val="center"/>
              <w:rPr>
                <w:rFonts w:ascii="Times New Roman" w:hAnsi="Times New Roman" w:cs="Times New Roman"/>
              </w:rPr>
            </w:pPr>
            <w:r>
              <w:rPr>
                <w:rFonts w:ascii="Times New Roman" w:hAnsi="Times New Roman" w:cs="Times New Roman"/>
              </w:rPr>
              <w:t>198,792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345DCF" w:rsidP="00A223A4">
            <w:pPr>
              <w:widowControl w:val="0"/>
              <w:autoSpaceDE w:val="0"/>
              <w:autoSpaceDN w:val="0"/>
              <w:adjustRightInd w:val="0"/>
              <w:jc w:val="center"/>
              <w:rPr>
                <w:rFonts w:ascii="Times New Roman" w:hAnsi="Times New Roman" w:cs="Times New Roman"/>
              </w:rPr>
            </w:pPr>
            <w:r>
              <w:rPr>
                <w:rFonts w:ascii="Times New Roman" w:hAnsi="Times New Roman" w:cs="Times New Roman"/>
              </w:rPr>
              <w:t>198,792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345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198,276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345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198,276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доступности современных образовательных технологий для 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E9689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CA1B25">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w:t>
            </w:r>
            <w:r w:rsidR="00CA1B25">
              <w:rPr>
                <w:rFonts w:ascii="Times New Roman" w:hAnsi="Times New Roman" w:cs="Times New Roman"/>
              </w:rPr>
              <w:t xml:space="preserve"> спортивного зала</w:t>
            </w:r>
            <w:r w:rsidRPr="00DD64DC">
              <w:rPr>
                <w:rFonts w:ascii="Times New Roman" w:hAnsi="Times New Roman" w:cs="Times New Roman"/>
              </w:rPr>
              <w:t xml:space="preserve"> МКОУ «Трубачевская </w:t>
            </w:r>
            <w:r w:rsidR="00CA1B25">
              <w:rPr>
                <w:rFonts w:ascii="Times New Roman" w:hAnsi="Times New Roman" w:cs="Times New Roman"/>
              </w:rPr>
              <w:t>О</w:t>
            </w:r>
            <w:r w:rsidRPr="00DD64DC">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5D7735" w:rsidP="00A851A0">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11708,434</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5D7735"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2472,934</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E96891" w:rsidRPr="00DD64DC" w:rsidTr="00626ECA">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sidRPr="00E96891">
              <w:rPr>
                <w:rFonts w:ascii="Times New Roman" w:hAnsi="Times New Roman" w:cs="Times New Roman"/>
              </w:rPr>
              <w:t xml:space="preserve">Обследование технического состояния строительных конструкций  здания МКОУ "Баткатская СОШ"  </w:t>
            </w:r>
          </w:p>
        </w:tc>
        <w:tc>
          <w:tcPr>
            <w:tcW w:w="986"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eastAsia="Times New Roman" w:hAnsi="Times New Roman"/>
                <w:lang w:eastAsia="ru-RU"/>
              </w:rPr>
              <w:t>599, 896</w:t>
            </w:r>
          </w:p>
        </w:tc>
        <w:tc>
          <w:tcPr>
            <w:tcW w:w="993"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rPr>
                <w:rFonts w:ascii="Times New Roman" w:hAnsi="Times New Roman" w:cs="Times New Roman"/>
              </w:rPr>
            </w:pPr>
            <w:r w:rsidRPr="00E96891">
              <w:rPr>
                <w:rFonts w:ascii="Times New Roman" w:eastAsia="Times New Roman" w:hAnsi="Times New Roman"/>
                <w:lang w:eastAsia="ru-RU"/>
              </w:rPr>
              <w:t>599, 896</w:t>
            </w:r>
          </w:p>
        </w:tc>
        <w:tc>
          <w:tcPr>
            <w:tcW w:w="992"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DD64DC" w:rsidRDefault="00E9689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E96891">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E96891">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B4150D"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E96891">
            <w:pPr>
              <w:widowControl w:val="0"/>
              <w:autoSpaceDE w:val="0"/>
              <w:autoSpaceDN w:val="0"/>
              <w:adjustRightInd w:val="0"/>
              <w:rPr>
                <w:rFonts w:ascii="Times New Roman" w:hAnsi="Times New Roman" w:cs="Times New Roman"/>
              </w:rPr>
            </w:pPr>
            <w:r>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A851A0">
            <w:pPr>
              <w:widowControl w:val="0"/>
              <w:autoSpaceDE w:val="0"/>
              <w:autoSpaceDN w:val="0"/>
              <w:adjustRightInd w:val="0"/>
              <w:rPr>
                <w:rFonts w:ascii="Times New Roman" w:hAnsi="Times New Roman" w:cs="Times New Roman"/>
              </w:rPr>
            </w:pPr>
            <w:r w:rsidRPr="00B4150D">
              <w:rPr>
                <w:rFonts w:ascii="Times New Roman" w:hAnsi="Times New Roman" w:cs="Times New Roman"/>
              </w:rPr>
              <w:t>Оснащение спортивного зала МКОУ «Трубачевская ООШ»</w:t>
            </w:r>
            <w:r w:rsidRPr="00B4150D">
              <w:rPr>
                <w:rFonts w:ascii="Times New Roman" w:hAnsi="Times New Roman" w:cs="Times New Roman"/>
              </w:rPr>
              <w:tab/>
            </w:r>
            <w:r w:rsidR="00A851A0">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5D77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493,080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5D77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493,080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FC2A39">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МКОУ «</w:t>
            </w:r>
            <w:r>
              <w:rPr>
                <w:rFonts w:ascii="Times New Roman" w:hAnsi="Times New Roman" w:cs="Times New Roman"/>
              </w:rPr>
              <w:t>Трубачевская ООШ</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B4150D" w:rsidRPr="00DD64DC" w:rsidRDefault="00B4150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5D77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219,485</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5D77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219,485</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5D2E48">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5D2E48">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16</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17</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163,102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19</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.20</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r w:rsidR="00B4150D">
              <w:rPr>
                <w:rFonts w:ascii="Times New Roman" w:hAnsi="Times New Roman" w:cs="Times New Roman"/>
              </w:rPr>
              <w:t>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предупреждение распространение новой короновирусной  инфекции</w:t>
            </w:r>
          </w:p>
        </w:tc>
      </w:tr>
      <w:tr w:rsidR="00B4150D"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widowControl w:val="0"/>
              <w:autoSpaceDE w:val="0"/>
              <w:autoSpaceDN w:val="0"/>
              <w:adjustRightInd w:val="0"/>
              <w:rPr>
                <w:rFonts w:ascii="Times New Roman" w:hAnsi="Times New Roman" w:cs="Times New Roman"/>
              </w:rPr>
            </w:pPr>
            <w:r>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rPr>
                <w:rFonts w:ascii="Times New Roman" w:eastAsia="Times New Roman" w:hAnsi="Times New Roman"/>
                <w:bCs/>
                <w:lang w:eastAsia="ru-RU"/>
              </w:rPr>
            </w:pPr>
            <w:r w:rsidRPr="00B4150D">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s="Times New Roman"/>
              </w:rPr>
            </w:pPr>
            <w:r>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 xml:space="preserve">МКОУ «Трубачевская </w:t>
            </w:r>
            <w:r>
              <w:rPr>
                <w:rFonts w:ascii="Times New Roman" w:hAnsi="Times New Roman" w:cs="Times New Roman"/>
              </w:rPr>
              <w:t>О</w:t>
            </w:r>
            <w:r w:rsidRPr="00DD64DC">
              <w:rPr>
                <w:rFonts w:ascii="Times New Roman" w:hAnsi="Times New Roman" w:cs="Times New Roman"/>
              </w:rPr>
              <w:t>ОШ»</w:t>
            </w:r>
          </w:p>
        </w:tc>
        <w:tc>
          <w:tcPr>
            <w:tcW w:w="2538"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w:t>
            </w:r>
            <w:r>
              <w:rPr>
                <w:rFonts w:ascii="Times New Roman" w:hAnsi="Times New Roman" w:cs="Times New Roman"/>
              </w:rPr>
              <w:t>.</w:t>
            </w:r>
          </w:p>
        </w:tc>
      </w:tr>
      <w:tr w:rsidR="00656B1A" w:rsidRPr="00DD64DC" w:rsidTr="006E07F9">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56B1A"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2.24</w:t>
            </w:r>
          </w:p>
        </w:tc>
        <w:tc>
          <w:tcPr>
            <w:tcW w:w="2563" w:type="dxa"/>
            <w:tcBorders>
              <w:top w:val="single" w:sz="4" w:space="0" w:color="auto"/>
              <w:left w:val="single" w:sz="4" w:space="0" w:color="auto"/>
              <w:bottom w:val="single" w:sz="4" w:space="0" w:color="auto"/>
              <w:right w:val="single" w:sz="4" w:space="0" w:color="auto"/>
            </w:tcBorders>
          </w:tcPr>
          <w:p w:rsidR="00656B1A" w:rsidRPr="00B4150D" w:rsidRDefault="00153DCF" w:rsidP="006E07F9">
            <w:pPr>
              <w:rPr>
                <w:rFonts w:ascii="Times New Roman" w:eastAsia="Times New Roman" w:hAnsi="Times New Roman"/>
                <w:bCs/>
                <w:lang w:eastAsia="ru-RU"/>
              </w:rPr>
            </w:pPr>
            <w:r w:rsidRPr="00153DCF">
              <w:rPr>
                <w:rFonts w:ascii="Times New Roman" w:eastAsia="Times New Roman" w:hAnsi="Times New Roman"/>
                <w:bCs/>
                <w:lang w:eastAsia="ru-RU"/>
              </w:rPr>
              <w:t xml:space="preserve">Выполнение ремонта части кровли </w:t>
            </w:r>
            <w:r w:rsidR="006E07F9">
              <w:rPr>
                <w:rFonts w:ascii="Times New Roman" w:eastAsia="Times New Roman" w:hAnsi="Times New Roman"/>
                <w:bCs/>
                <w:lang w:eastAsia="ru-RU"/>
              </w:rPr>
              <w:t>в</w:t>
            </w:r>
            <w:r w:rsidRPr="00153DCF">
              <w:rPr>
                <w:rFonts w:ascii="Times New Roman" w:eastAsia="Times New Roman" w:hAnsi="Times New Roman"/>
                <w:bCs/>
                <w:lang w:eastAsia="ru-RU"/>
              </w:rPr>
              <w:t xml:space="preserve">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656B1A" w:rsidRDefault="006E07F9" w:rsidP="009C008D">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29,346</w:t>
            </w:r>
          </w:p>
        </w:tc>
        <w:tc>
          <w:tcPr>
            <w:tcW w:w="993" w:type="dxa"/>
            <w:tcBorders>
              <w:top w:val="single" w:sz="4" w:space="0" w:color="auto"/>
              <w:left w:val="single" w:sz="4" w:space="0" w:color="auto"/>
              <w:bottom w:val="single" w:sz="4" w:space="0" w:color="auto"/>
              <w:right w:val="single" w:sz="4" w:space="0" w:color="auto"/>
            </w:tcBorders>
          </w:tcPr>
          <w:p w:rsidR="00656B1A" w:rsidRDefault="00153DCF"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56B1A" w:rsidRDefault="006E07F9" w:rsidP="009C008D">
            <w:pPr>
              <w:jc w:val="center"/>
              <w:rPr>
                <w:rFonts w:ascii="Times New Roman" w:hAnsi="Times New Roman" w:cs="Times New Roman"/>
              </w:rPr>
            </w:pPr>
            <w:r>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56B1A" w:rsidRDefault="00153DCF"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56B1A" w:rsidRPr="00DD64DC" w:rsidRDefault="00AB784C" w:rsidP="00B4150D">
            <w:pPr>
              <w:rPr>
                <w:rFonts w:ascii="Times New Roman" w:hAnsi="Times New Roman" w:cs="Times New Roman"/>
              </w:rPr>
            </w:pPr>
            <w:r w:rsidRPr="00656B1A">
              <w:rPr>
                <w:rFonts w:ascii="Times New Roman" w:eastAsia="Times New Roman" w:hAnsi="Times New Roman"/>
                <w:bCs/>
                <w:lang w:eastAsia="ru-RU"/>
              </w:rPr>
              <w:t>МКОУ "Труба</w:t>
            </w:r>
            <w:r>
              <w:rPr>
                <w:rFonts w:ascii="Times New Roman" w:eastAsia="Times New Roman" w:hAnsi="Times New Roman"/>
                <w:bCs/>
                <w:lang w:eastAsia="ru-RU"/>
              </w:rPr>
              <w:t>ч</w:t>
            </w:r>
            <w:r w:rsidRPr="00656B1A">
              <w:rPr>
                <w:rFonts w:ascii="Times New Roman" w:eastAsia="Times New Roman" w:hAnsi="Times New Roman"/>
                <w:bCs/>
                <w:lang w:eastAsia="ru-RU"/>
              </w:rPr>
              <w:t>евская ООШ"</w:t>
            </w:r>
          </w:p>
        </w:tc>
        <w:tc>
          <w:tcPr>
            <w:tcW w:w="2538" w:type="dxa"/>
            <w:tcBorders>
              <w:top w:val="single" w:sz="4" w:space="0" w:color="auto"/>
              <w:left w:val="single" w:sz="4" w:space="0" w:color="auto"/>
              <w:bottom w:val="single" w:sz="4" w:space="0" w:color="auto"/>
              <w:right w:val="single" w:sz="4" w:space="0" w:color="auto"/>
            </w:tcBorders>
          </w:tcPr>
          <w:p w:rsidR="006E07F9" w:rsidRPr="00DD64DC" w:rsidRDefault="00153DCF" w:rsidP="00153DCF">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обучающихся</w:t>
            </w:r>
          </w:p>
        </w:tc>
      </w:tr>
      <w:tr w:rsidR="006E07F9" w:rsidRPr="00DD64DC" w:rsidTr="006E07F9">
        <w:trPr>
          <w:trHeight w:val="1266"/>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07F9" w:rsidRDefault="006E07F9" w:rsidP="00075922">
            <w:pPr>
              <w:widowControl w:val="0"/>
              <w:autoSpaceDE w:val="0"/>
              <w:autoSpaceDN w:val="0"/>
              <w:adjustRightInd w:val="0"/>
              <w:rPr>
                <w:rFonts w:ascii="Times New Roman" w:hAnsi="Times New Roman" w:cs="Times New Roman"/>
              </w:rPr>
            </w:pPr>
            <w:r>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6E07F9" w:rsidRPr="00153DCF" w:rsidRDefault="006E07F9" w:rsidP="006E07F9">
            <w:pPr>
              <w:rPr>
                <w:rFonts w:ascii="Times New Roman" w:eastAsia="Times New Roman" w:hAnsi="Times New Roman"/>
                <w:bCs/>
                <w:lang w:eastAsia="ru-RU"/>
              </w:rPr>
            </w:pPr>
            <w:r>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6E07F9" w:rsidRDefault="006E07F9" w:rsidP="009C008D">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243,309</w:t>
            </w:r>
          </w:p>
        </w:tc>
        <w:tc>
          <w:tcPr>
            <w:tcW w:w="993" w:type="dxa"/>
            <w:tcBorders>
              <w:top w:val="single" w:sz="4" w:space="0" w:color="auto"/>
              <w:left w:val="single" w:sz="4" w:space="0" w:color="auto"/>
              <w:bottom w:val="single" w:sz="4" w:space="0" w:color="auto"/>
              <w:right w:val="single" w:sz="4" w:space="0" w:color="auto"/>
            </w:tcBorders>
          </w:tcPr>
          <w:p w:rsidR="006E07F9" w:rsidRDefault="006E07F9"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6E07F9"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07F9" w:rsidRDefault="006E07F9" w:rsidP="009C008D">
            <w:pPr>
              <w:jc w:val="center"/>
              <w:rPr>
                <w:rFonts w:ascii="Times New Roman" w:hAnsi="Times New Roman" w:cs="Times New Roman"/>
              </w:rPr>
            </w:pPr>
            <w:r>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6E07F9"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E07F9"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07F9" w:rsidRPr="00656B1A" w:rsidRDefault="006E07F9" w:rsidP="006E07F9">
            <w:pPr>
              <w:rPr>
                <w:rFonts w:ascii="Times New Roman" w:eastAsia="Times New Roman" w:hAnsi="Times New Roman"/>
                <w:bCs/>
                <w:lang w:eastAsia="ru-RU"/>
              </w:rPr>
            </w:pPr>
            <w:r>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6E07F9" w:rsidRPr="00DD64DC" w:rsidRDefault="006E07F9" w:rsidP="00153DCF">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w:t>
            </w:r>
            <w:r>
              <w:rPr>
                <w:rFonts w:ascii="Times New Roman" w:hAnsi="Times New Roman" w:cs="Times New Roman"/>
              </w:rPr>
              <w:t>.</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1C5204">
        <w:trPr>
          <w:trHeight w:val="814"/>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p w:rsidR="001C5204" w:rsidRPr="00DD64DC" w:rsidRDefault="001C5204"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1C5204" w:rsidRPr="00DD64DC" w:rsidTr="001C5204">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rPr>
                <w:rFonts w:ascii="Times New Roman" w:hAnsi="Times New Roman" w:cs="Times New Roman"/>
              </w:rPr>
            </w:pPr>
            <w:r>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1C5204" w:rsidRPr="00DD64DC" w:rsidRDefault="001C5204" w:rsidP="00C677A5">
            <w:pPr>
              <w:jc w:val="both"/>
              <w:rPr>
                <w:rFonts w:ascii="Times New Roman" w:hAnsi="Times New Roman" w:cs="Times New Roman"/>
              </w:rPr>
            </w:pPr>
            <w:r>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1C5204" w:rsidRPr="00DD64DC" w:rsidRDefault="001C520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2097,195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jc w:val="center"/>
              <w:rPr>
                <w:rFonts w:ascii="Times New Roman" w:hAnsi="Times New Roman" w:cs="Times New Roman"/>
              </w:rPr>
            </w:pPr>
            <w:r>
              <w:rPr>
                <w:rFonts w:ascii="Times New Roman" w:hAnsi="Times New Roman" w:cs="Times New Roman"/>
              </w:rPr>
              <w:t>314,595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E07F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075922"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075922">
        <w:trPr>
          <w:trHeight w:val="83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075922" w:rsidRPr="00DD64DC" w:rsidTr="00075922">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075922" w:rsidRPr="00B4150D" w:rsidRDefault="00075922" w:rsidP="00075922">
            <w:pPr>
              <w:rPr>
                <w:rFonts w:ascii="Times New Roman" w:eastAsia="Times New Roman" w:hAnsi="Times New Roman"/>
                <w:bCs/>
                <w:lang w:eastAsia="ru-RU"/>
              </w:rPr>
            </w:pPr>
            <w:r w:rsidRPr="00656B1A">
              <w:rPr>
                <w:rFonts w:ascii="Times New Roman" w:eastAsia="Times New Roman" w:hAnsi="Times New Roman"/>
                <w:bCs/>
                <w:lang w:eastAsia="ru-RU"/>
              </w:rPr>
              <w:t>Оснащение столовой МКОУ "Маркеловская СОШ"</w:t>
            </w:r>
            <w:r w:rsidRPr="00656B1A">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075922" w:rsidRDefault="006E07F9" w:rsidP="006E07F9">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267,839</w:t>
            </w:r>
          </w:p>
        </w:tc>
        <w:tc>
          <w:tcPr>
            <w:tcW w:w="993"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Default="006E07F9" w:rsidP="006E07F9">
            <w:pPr>
              <w:jc w:val="center"/>
              <w:rPr>
                <w:rFonts w:ascii="Times New Roman" w:hAnsi="Times New Roman" w:cs="Times New Roman"/>
              </w:rPr>
            </w:pPr>
            <w:r>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656B1A">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spacing w:after="200" w:line="276" w:lineRule="auto"/>
              <w:rPr>
                <w:rFonts w:ascii="Times New Roman" w:hAnsi="Times New Roman" w:cs="Times New Roman"/>
              </w:rPr>
            </w:pPr>
            <w:r>
              <w:rPr>
                <w:rFonts w:ascii="Times New Roman" w:hAnsi="Times New Roman" w:cs="Times New Roman"/>
              </w:rPr>
              <w:t>Обеспечение обучающихся горячим питанием</w:t>
            </w:r>
          </w:p>
        </w:tc>
      </w:tr>
      <w:tr w:rsidR="00075922" w:rsidRPr="00DD64DC" w:rsidTr="00075922">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075922" w:rsidRPr="00B4150D" w:rsidRDefault="00075922" w:rsidP="00075922">
            <w:pPr>
              <w:rPr>
                <w:rFonts w:ascii="Times New Roman" w:eastAsia="Times New Roman" w:hAnsi="Times New Roman"/>
                <w:bCs/>
                <w:lang w:eastAsia="ru-RU"/>
              </w:rPr>
            </w:pPr>
            <w:r w:rsidRPr="00153DCF">
              <w:rPr>
                <w:rFonts w:ascii="Times New Roman" w:eastAsia="Times New Roman" w:hAnsi="Times New Roman"/>
                <w:bCs/>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075922" w:rsidRDefault="00075922" w:rsidP="00720701">
            <w:pPr>
              <w:widowControl w:val="0"/>
              <w:autoSpaceDE w:val="0"/>
              <w:autoSpaceDN w:val="0"/>
              <w:adjustRightInd w:val="0"/>
              <w:jc w:val="center"/>
              <w:rPr>
                <w:rFonts w:ascii="Times New Roman" w:hAnsi="Times New Roman"/>
                <w:color w:val="000000" w:themeColor="text1"/>
              </w:rPr>
            </w:pPr>
            <w:r w:rsidRPr="00153DCF">
              <w:rPr>
                <w:rFonts w:ascii="Times New Roman" w:hAnsi="Times New Roman"/>
                <w:color w:val="000000" w:themeColor="text1"/>
              </w:rPr>
              <w:t>97,4</w:t>
            </w:r>
            <w:r w:rsidR="00720701">
              <w:rPr>
                <w:rFonts w:ascii="Times New Roman" w:hAnsi="Times New Roman"/>
                <w:color w:val="000000" w:themeColor="text1"/>
              </w:rPr>
              <w:t>40</w:t>
            </w:r>
          </w:p>
        </w:tc>
        <w:tc>
          <w:tcPr>
            <w:tcW w:w="993" w:type="dxa"/>
            <w:tcBorders>
              <w:top w:val="single" w:sz="4" w:space="0" w:color="auto"/>
              <w:left w:val="single" w:sz="4" w:space="0" w:color="auto"/>
              <w:bottom w:val="single" w:sz="4" w:space="0" w:color="auto"/>
              <w:right w:val="single" w:sz="4" w:space="0" w:color="auto"/>
            </w:tcBorders>
          </w:tcPr>
          <w:p w:rsidR="00075922" w:rsidRDefault="00075922" w:rsidP="00075922">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Default="00075922" w:rsidP="00720701">
            <w:pPr>
              <w:jc w:val="center"/>
              <w:rPr>
                <w:rFonts w:ascii="Times New Roman" w:hAnsi="Times New Roman" w:cs="Times New Roman"/>
              </w:rPr>
            </w:pPr>
            <w:r w:rsidRPr="00153DCF">
              <w:rPr>
                <w:rFonts w:ascii="Times New Roman" w:hAnsi="Times New Roman" w:cs="Times New Roman"/>
              </w:rPr>
              <w:t>97,4</w:t>
            </w:r>
            <w:r w:rsidR="00720701">
              <w:rPr>
                <w:rFonts w:ascii="Times New Roman" w:hAnsi="Times New Roman" w:cs="Times New Roman"/>
              </w:rPr>
              <w:t>40</w:t>
            </w:r>
          </w:p>
        </w:tc>
        <w:tc>
          <w:tcPr>
            <w:tcW w:w="992" w:type="dxa"/>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075922" w:rsidRDefault="00075922"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656B1A">
              <w:rPr>
                <w:rFonts w:ascii="Times New Roman" w:eastAsia="Times New Roman" w:hAnsi="Times New Roman"/>
                <w:bCs/>
                <w:lang w:eastAsia="ru-RU"/>
              </w:rPr>
              <w:t>МКОУ "Труба</w:t>
            </w:r>
            <w:r>
              <w:rPr>
                <w:rFonts w:ascii="Times New Roman" w:eastAsia="Times New Roman" w:hAnsi="Times New Roman"/>
                <w:bCs/>
                <w:lang w:eastAsia="ru-RU"/>
              </w:rPr>
              <w:t>ч</w:t>
            </w:r>
            <w:r w:rsidRPr="00656B1A">
              <w:rPr>
                <w:rFonts w:ascii="Times New Roman" w:eastAsia="Times New Roman" w:hAnsi="Times New Roman"/>
                <w:bCs/>
                <w:lang w:eastAsia="ru-RU"/>
              </w:rPr>
              <w:t>евская ООШ"</w:t>
            </w:r>
          </w:p>
        </w:tc>
        <w:tc>
          <w:tcPr>
            <w:tcW w:w="2538"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spacing w:after="200" w:line="276" w:lineRule="auto"/>
              <w:rPr>
                <w:rFonts w:ascii="Times New Roman" w:hAnsi="Times New Roman" w:cs="Times New Roman"/>
              </w:rPr>
            </w:pPr>
            <w:r>
              <w:rPr>
                <w:rFonts w:ascii="Times New Roman" w:hAnsi="Times New Roman" w:cs="Times New Roman"/>
              </w:rPr>
              <w:t>Обеспечение обучающихся горячим питанием</w:t>
            </w:r>
          </w:p>
        </w:tc>
      </w:tr>
      <w:tr w:rsidR="00075922"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5</w:t>
            </w:r>
          </w:p>
        </w:tc>
        <w:tc>
          <w:tcPr>
            <w:tcW w:w="2563"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720701"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720701" w:rsidP="00075922">
            <w:pPr>
              <w:widowControl w:val="0"/>
              <w:autoSpaceDE w:val="0"/>
              <w:autoSpaceDN w:val="0"/>
              <w:adjustRightInd w:val="0"/>
              <w:jc w:val="center"/>
              <w:rPr>
                <w:rFonts w:ascii="Times New Roman" w:hAnsi="Times New Roman" w:cs="Times New Roman"/>
              </w:rPr>
            </w:pPr>
            <w:r>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6</w:t>
            </w:r>
          </w:p>
        </w:tc>
        <w:tc>
          <w:tcPr>
            <w:tcW w:w="2563" w:type="dxa"/>
            <w:vMerge w:val="restart"/>
            <w:tcBorders>
              <w:top w:val="single" w:sz="4" w:space="0" w:color="auto"/>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075922" w:rsidRPr="00DD64DC" w:rsidTr="00626ECA">
        <w:trPr>
          <w:trHeight w:val="507"/>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387"/>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520"/>
          <w:tblCellSpacing w:w="5" w:type="nil"/>
          <w:jc w:val="center"/>
        </w:trPr>
        <w:tc>
          <w:tcPr>
            <w:tcW w:w="426" w:type="dxa"/>
            <w:vMerge/>
            <w:tcBorders>
              <w:left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075922" w:rsidRPr="00DD64DC" w:rsidRDefault="00075922" w:rsidP="00075922">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7</w:t>
            </w:r>
          </w:p>
        </w:tc>
        <w:tc>
          <w:tcPr>
            <w:tcW w:w="2563"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07592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r w:rsidR="0007592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5.</w:t>
            </w:r>
            <w:r>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075922" w:rsidRPr="00DD64DC" w:rsidRDefault="00720701" w:rsidP="00075922">
            <w:pPr>
              <w:rPr>
                <w:rFonts w:ascii="Times New Roman" w:hAnsi="Times New Roman" w:cs="Times New Roman"/>
              </w:rPr>
            </w:pPr>
            <w:r>
              <w:rPr>
                <w:rFonts w:ascii="Times New Roman" w:hAnsi="Times New Roman" w:cs="Times New Roman"/>
              </w:rPr>
              <w:t>4226,0</w:t>
            </w:r>
          </w:p>
        </w:tc>
        <w:tc>
          <w:tcPr>
            <w:tcW w:w="993"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075922" w:rsidRPr="00DD64DC" w:rsidRDefault="00720701" w:rsidP="00075922">
            <w:pPr>
              <w:rPr>
                <w:rFonts w:ascii="Times New Roman" w:hAnsi="Times New Roman" w:cs="Times New Roman"/>
              </w:rPr>
            </w:pPr>
            <w:r>
              <w:rPr>
                <w:rFonts w:ascii="Times New Roman" w:hAnsi="Times New Roman" w:cs="Times New Roman"/>
              </w:rPr>
              <w:t>3729,577</w:t>
            </w:r>
          </w:p>
        </w:tc>
        <w:tc>
          <w:tcPr>
            <w:tcW w:w="992" w:type="dxa"/>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075922" w:rsidRPr="00DD64DC" w:rsidRDefault="00075922" w:rsidP="00075922">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75922"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075922" w:rsidRPr="00DD64DC" w:rsidRDefault="00075922" w:rsidP="00075922">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r w:rsidRPr="00D75EA0">
              <w:rPr>
                <w:rFonts w:ascii="Times New Roman" w:hAnsi="Times New Roman" w:cs="Times New Roman"/>
                <w:b/>
              </w:rPr>
              <w:tab/>
            </w:r>
            <w:r w:rsidRPr="00D75EA0">
              <w:rPr>
                <w:rFonts w:ascii="Times New Roman" w:hAnsi="Times New Roman" w:cs="Times New Roman"/>
                <w:b/>
              </w:rPr>
              <w:tab/>
            </w:r>
            <w:r w:rsidRPr="00E554EA">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075922" w:rsidRPr="00863299" w:rsidRDefault="00720701" w:rsidP="00720701">
            <w:pPr>
              <w:widowControl w:val="0"/>
              <w:autoSpaceDE w:val="0"/>
              <w:autoSpaceDN w:val="0"/>
              <w:adjustRightInd w:val="0"/>
              <w:rPr>
                <w:rFonts w:ascii="Times New Roman" w:hAnsi="Times New Roman" w:cs="Times New Roman"/>
                <w:b/>
              </w:rPr>
            </w:pPr>
            <w:r w:rsidRPr="00720701">
              <w:rPr>
                <w:rFonts w:ascii="Times New Roman" w:hAnsi="Times New Roman" w:cs="Times New Roman"/>
                <w:b/>
              </w:rPr>
              <w:t>283717,94</w:t>
            </w:r>
          </w:p>
        </w:tc>
        <w:tc>
          <w:tcPr>
            <w:tcW w:w="993" w:type="dxa"/>
            <w:tcBorders>
              <w:top w:val="single" w:sz="8" w:space="0" w:color="auto"/>
              <w:left w:val="single" w:sz="4" w:space="0" w:color="auto"/>
              <w:bottom w:val="single" w:sz="4" w:space="0" w:color="auto"/>
              <w:right w:val="single" w:sz="4" w:space="0" w:color="auto"/>
            </w:tcBorders>
          </w:tcPr>
          <w:p w:rsidR="00075922" w:rsidRPr="00863299" w:rsidRDefault="00720701" w:rsidP="00720701">
            <w:pPr>
              <w:widowControl w:val="0"/>
              <w:autoSpaceDE w:val="0"/>
              <w:autoSpaceDN w:val="0"/>
              <w:adjustRightInd w:val="0"/>
              <w:rPr>
                <w:rFonts w:ascii="Times New Roman" w:hAnsi="Times New Roman" w:cs="Times New Roman"/>
                <w:b/>
              </w:rPr>
            </w:pPr>
            <w:r w:rsidRPr="00720701">
              <w:rPr>
                <w:rFonts w:ascii="Times New Roman" w:hAnsi="Times New Roman" w:cs="Times New Roman"/>
                <w:b/>
              </w:rPr>
              <w:t>97810,41</w:t>
            </w:r>
          </w:p>
        </w:tc>
        <w:tc>
          <w:tcPr>
            <w:tcW w:w="992" w:type="dxa"/>
            <w:tcBorders>
              <w:top w:val="single" w:sz="8" w:space="0" w:color="auto"/>
              <w:left w:val="single" w:sz="4" w:space="0" w:color="auto"/>
              <w:bottom w:val="single" w:sz="4" w:space="0" w:color="auto"/>
              <w:right w:val="single" w:sz="4" w:space="0" w:color="auto"/>
            </w:tcBorders>
          </w:tcPr>
          <w:p w:rsidR="00075922" w:rsidRPr="00863299" w:rsidRDefault="00720701" w:rsidP="00720701">
            <w:pPr>
              <w:widowControl w:val="0"/>
              <w:autoSpaceDE w:val="0"/>
              <w:autoSpaceDN w:val="0"/>
              <w:adjustRightInd w:val="0"/>
              <w:rPr>
                <w:rFonts w:ascii="Times New Roman" w:hAnsi="Times New Roman" w:cs="Times New Roman"/>
                <w:b/>
              </w:rPr>
            </w:pPr>
            <w:r w:rsidRPr="00720701">
              <w:rPr>
                <w:rFonts w:ascii="Times New Roman" w:hAnsi="Times New Roman" w:cs="Times New Roman"/>
                <w:b/>
              </w:rPr>
              <w:t>121765,01</w:t>
            </w:r>
            <w:r w:rsidRPr="00720701">
              <w:rPr>
                <w:rFonts w:ascii="Times New Roman" w:hAnsi="Times New Roman" w:cs="Times New Roman"/>
                <w:b/>
              </w:rPr>
              <w:tab/>
            </w:r>
          </w:p>
        </w:tc>
        <w:tc>
          <w:tcPr>
            <w:tcW w:w="1134" w:type="dxa"/>
            <w:tcBorders>
              <w:top w:val="single" w:sz="8" w:space="0" w:color="auto"/>
              <w:left w:val="single" w:sz="4" w:space="0" w:color="auto"/>
              <w:bottom w:val="single" w:sz="8" w:space="0" w:color="auto"/>
              <w:right w:val="single" w:sz="4" w:space="0" w:color="auto"/>
            </w:tcBorders>
          </w:tcPr>
          <w:p w:rsidR="00075922" w:rsidRPr="00863299" w:rsidRDefault="00720701" w:rsidP="00720701">
            <w:pPr>
              <w:widowControl w:val="0"/>
              <w:autoSpaceDE w:val="0"/>
              <w:autoSpaceDN w:val="0"/>
              <w:adjustRightInd w:val="0"/>
              <w:rPr>
                <w:rFonts w:ascii="Times New Roman" w:hAnsi="Times New Roman" w:cs="Times New Roman"/>
                <w:b/>
              </w:rPr>
            </w:pPr>
            <w:r w:rsidRPr="00720701">
              <w:rPr>
                <w:rFonts w:ascii="Times New Roman" w:hAnsi="Times New Roman" w:cs="Times New Roman"/>
                <w:b/>
              </w:rPr>
              <w:t>64142,52</w:t>
            </w:r>
          </w:p>
        </w:tc>
        <w:tc>
          <w:tcPr>
            <w:tcW w:w="992" w:type="dxa"/>
            <w:tcBorders>
              <w:top w:val="single" w:sz="8" w:space="0" w:color="auto"/>
              <w:left w:val="single" w:sz="4" w:space="0" w:color="auto"/>
              <w:bottom w:val="single" w:sz="4" w:space="0" w:color="auto"/>
              <w:right w:val="single" w:sz="4" w:space="0" w:color="auto"/>
            </w:tcBorders>
          </w:tcPr>
          <w:p w:rsidR="00075922" w:rsidRPr="00863299" w:rsidRDefault="00075922" w:rsidP="00075922">
            <w:pPr>
              <w:rPr>
                <w:rFonts w:ascii="Times New Roman" w:hAnsi="Times New Roman" w:cs="Times New Roman"/>
                <w:b/>
              </w:rPr>
            </w:pPr>
            <w:r w:rsidRPr="00863299">
              <w:rPr>
                <w:rFonts w:ascii="Times New Roman" w:hAnsi="Times New Roman" w:cs="Times New Roman"/>
                <w:b/>
              </w:rPr>
              <w:t>0,0</w:t>
            </w:r>
          </w:p>
        </w:tc>
        <w:tc>
          <w:tcPr>
            <w:tcW w:w="1276" w:type="dxa"/>
            <w:gridSpan w:val="2"/>
            <w:tcBorders>
              <w:top w:val="single" w:sz="8" w:space="0" w:color="auto"/>
              <w:left w:val="single" w:sz="4" w:space="0" w:color="auto"/>
              <w:bottom w:val="single" w:sz="4" w:space="0" w:color="auto"/>
              <w:right w:val="single" w:sz="4" w:space="0" w:color="auto"/>
            </w:tcBorders>
          </w:tcPr>
          <w:p w:rsidR="00075922" w:rsidRPr="00863299" w:rsidRDefault="00075922" w:rsidP="00075922">
            <w:pPr>
              <w:widowControl w:val="0"/>
              <w:autoSpaceDE w:val="0"/>
              <w:autoSpaceDN w:val="0"/>
              <w:adjustRightInd w:val="0"/>
              <w:jc w:val="center"/>
              <w:rPr>
                <w:rFonts w:ascii="Times New Roman" w:hAnsi="Times New Roman" w:cs="Times New Roman"/>
                <w:b/>
              </w:rPr>
            </w:pPr>
            <w:r w:rsidRPr="00863299">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075922" w:rsidRPr="00DD64DC" w:rsidRDefault="00863299" w:rsidP="00720701">
            <w:pPr>
              <w:rPr>
                <w:rFonts w:ascii="Times New Roman" w:hAnsi="Times New Roman" w:cs="Times New Roman"/>
              </w:rPr>
            </w:pPr>
            <w:r w:rsidRPr="00863299">
              <w:rPr>
                <w:rFonts w:ascii="Times New Roman" w:hAnsi="Times New Roman" w:cs="Times New Roman"/>
              </w:rPr>
              <w:tab/>
            </w:r>
            <w:r w:rsidR="00720701" w:rsidRPr="00720701">
              <w:rPr>
                <w:rFonts w:ascii="Times New Roman" w:hAnsi="Times New Roman" w:cs="Times New Roman"/>
              </w:rPr>
              <w:tab/>
            </w:r>
            <w:r w:rsidR="00720701" w:rsidRPr="00720701">
              <w:rPr>
                <w:rFonts w:ascii="Times New Roman" w:hAnsi="Times New Roman" w:cs="Times New Roman"/>
              </w:rPr>
              <w:tab/>
            </w:r>
            <w:r w:rsidRPr="00863299">
              <w:rPr>
                <w:rFonts w:ascii="Times New Roman" w:hAnsi="Times New Roman" w:cs="Times New Roman"/>
              </w:rPr>
              <w:tab/>
            </w:r>
            <w:r w:rsidRPr="00863299">
              <w:rPr>
                <w:rFonts w:ascii="Times New Roman" w:hAnsi="Times New Roman" w:cs="Times New Roman"/>
              </w:rPr>
              <w:tab/>
            </w:r>
          </w:p>
        </w:tc>
        <w:tc>
          <w:tcPr>
            <w:tcW w:w="2538" w:type="dxa"/>
            <w:tcBorders>
              <w:left w:val="single" w:sz="8" w:space="0" w:color="auto"/>
              <w:bottom w:val="single" w:sz="4" w:space="0" w:color="auto"/>
              <w:right w:val="single" w:sz="4" w:space="0" w:color="auto"/>
            </w:tcBorders>
          </w:tcPr>
          <w:p w:rsidR="00075922" w:rsidRPr="00DD64DC" w:rsidRDefault="00075922" w:rsidP="00075922">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4.  Доля обучающихся, 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885986" w:rsidRPr="00885986">
              <w:rPr>
                <w:rFonts w:ascii="Times New Roman" w:hAnsi="Times New Roman" w:cs="Times New Roman"/>
                <w:sz w:val="24"/>
                <w:szCs w:val="24"/>
                <w:lang w:eastAsia="ru-RU"/>
              </w:rPr>
              <w:t>6094,774</w:t>
            </w:r>
            <w:r w:rsidR="00885986">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750DB3" w:rsidRPr="00750DB3">
              <w:rPr>
                <w:rFonts w:ascii="Times New Roman" w:hAnsi="Times New Roman" w:cs="Times New Roman"/>
                <w:sz w:val="24"/>
                <w:szCs w:val="24"/>
                <w:lang w:eastAsia="ru-RU"/>
              </w:rPr>
              <w:t>4772,054</w:t>
            </w:r>
            <w:r w:rsidR="00750DB3">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2255B0" w:rsidRPr="00885986"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2255B0" w:rsidRPr="00885986"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64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121,154</w:t>
                  </w:r>
                </w:p>
              </w:tc>
              <w:tc>
                <w:tcPr>
                  <w:tcW w:w="193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Pr>
                      <w:rFonts w:ascii="Times New Roman" w:hAnsi="Times New Roman" w:cs="Times New Roman"/>
                      <w:sz w:val="24"/>
                      <w:szCs w:val="24"/>
                      <w:lang w:eastAsia="ru-RU"/>
                    </w:rPr>
                    <w:t>121,154</w:t>
                  </w:r>
                </w:p>
              </w:tc>
              <w:tc>
                <w:tcPr>
                  <w:tcW w:w="164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64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64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643"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85986" w:rsidRPr="005B703D" w:rsidRDefault="00885986" w:rsidP="00885986">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885986" w:rsidRPr="00885986"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885986" w:rsidRPr="00DD64DC" w:rsidRDefault="00885986" w:rsidP="00885986">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6094,774</w:t>
                  </w:r>
                </w:p>
              </w:tc>
              <w:tc>
                <w:tcPr>
                  <w:tcW w:w="1933" w:type="dxa"/>
                  <w:tcBorders>
                    <w:top w:val="single" w:sz="4" w:space="0" w:color="auto"/>
                    <w:left w:val="single" w:sz="4" w:space="0" w:color="auto"/>
                    <w:bottom w:val="single" w:sz="4" w:space="0" w:color="auto"/>
                    <w:right w:val="single" w:sz="4" w:space="0" w:color="auto"/>
                  </w:tcBorders>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4772,054</w:t>
                  </w:r>
                </w:p>
              </w:tc>
              <w:tc>
                <w:tcPr>
                  <w:tcW w:w="1643" w:type="dxa"/>
                  <w:tcBorders>
                    <w:top w:val="single" w:sz="4" w:space="0" w:color="auto"/>
                    <w:left w:val="single" w:sz="4" w:space="0" w:color="auto"/>
                    <w:bottom w:val="single" w:sz="4" w:space="0" w:color="auto"/>
                    <w:right w:val="single" w:sz="4" w:space="0" w:color="auto"/>
                  </w:tcBorders>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85986" w:rsidRPr="00885986" w:rsidRDefault="00885986" w:rsidP="00885986">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1283,04</w:t>
                  </w:r>
                </w:p>
              </w:tc>
            </w:tr>
          </w:tbl>
          <w:p w:rsidR="003B2B97" w:rsidRPr="00DD64DC" w:rsidRDefault="005B703D" w:rsidP="005B703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0DB3" w:rsidRPr="00DD64DC" w:rsidRDefault="00750DB3" w:rsidP="00750DB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885986">
        <w:rPr>
          <w:rFonts w:ascii="Times New Roman" w:hAnsi="Times New Roman" w:cs="Times New Roman"/>
          <w:sz w:val="24"/>
          <w:szCs w:val="24"/>
          <w:lang w:eastAsia="ru-RU"/>
        </w:rPr>
        <w:t>6094,774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750DB3">
        <w:rPr>
          <w:rFonts w:ascii="Times New Roman" w:hAnsi="Times New Roman" w:cs="Times New Roman"/>
          <w:sz w:val="24"/>
          <w:szCs w:val="24"/>
          <w:lang w:eastAsia="ru-RU"/>
        </w:rPr>
        <w:t>4772,054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750DB3" w:rsidRPr="00DD64DC" w:rsidRDefault="00750DB3" w:rsidP="00750DB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750DB3" w:rsidRPr="00885986" w:rsidTr="00DB49E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50DB3" w:rsidRPr="00885986" w:rsidTr="00DB49E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50DB3" w:rsidRPr="00DD64DC" w:rsidRDefault="00750DB3"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64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121,154</w:t>
            </w:r>
          </w:p>
        </w:tc>
        <w:tc>
          <w:tcPr>
            <w:tcW w:w="193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Pr>
                <w:rFonts w:ascii="Times New Roman" w:hAnsi="Times New Roman" w:cs="Times New Roman"/>
                <w:sz w:val="24"/>
                <w:szCs w:val="24"/>
                <w:lang w:eastAsia="ru-RU"/>
              </w:rPr>
              <w:t>121,154</w:t>
            </w:r>
          </w:p>
        </w:tc>
        <w:tc>
          <w:tcPr>
            <w:tcW w:w="164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64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64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643"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750DB3" w:rsidRPr="005B703D" w:rsidRDefault="00750DB3" w:rsidP="00DB49E4">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750DB3" w:rsidRPr="00885986" w:rsidTr="00DB49E4">
        <w:trPr>
          <w:jc w:val="center"/>
        </w:trPr>
        <w:tc>
          <w:tcPr>
            <w:tcW w:w="1433" w:type="dxa"/>
            <w:tcBorders>
              <w:top w:val="single" w:sz="4" w:space="0" w:color="auto"/>
              <w:left w:val="single" w:sz="4" w:space="0" w:color="auto"/>
              <w:bottom w:val="single" w:sz="4" w:space="0" w:color="auto"/>
              <w:right w:val="single" w:sz="4" w:space="0" w:color="auto"/>
            </w:tcBorders>
            <w:hideMark/>
          </w:tcPr>
          <w:p w:rsidR="00750DB3" w:rsidRPr="00DD64DC" w:rsidRDefault="00750DB3" w:rsidP="00DB49E4">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6094,774</w:t>
            </w:r>
          </w:p>
        </w:tc>
        <w:tc>
          <w:tcPr>
            <w:tcW w:w="1933" w:type="dxa"/>
            <w:tcBorders>
              <w:top w:val="single" w:sz="4" w:space="0" w:color="auto"/>
              <w:left w:val="single" w:sz="4" w:space="0" w:color="auto"/>
              <w:bottom w:val="single" w:sz="4" w:space="0" w:color="auto"/>
              <w:right w:val="single" w:sz="4" w:space="0" w:color="auto"/>
            </w:tcBorders>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4772,054</w:t>
            </w:r>
          </w:p>
        </w:tc>
        <w:tc>
          <w:tcPr>
            <w:tcW w:w="1643" w:type="dxa"/>
            <w:tcBorders>
              <w:top w:val="single" w:sz="4" w:space="0" w:color="auto"/>
              <w:left w:val="single" w:sz="4" w:space="0" w:color="auto"/>
              <w:bottom w:val="single" w:sz="4" w:space="0" w:color="auto"/>
              <w:right w:val="single" w:sz="4" w:space="0" w:color="auto"/>
            </w:tcBorders>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50DB3" w:rsidRPr="00885986" w:rsidRDefault="00750DB3" w:rsidP="00DB49E4">
            <w:pPr>
              <w:rPr>
                <w:rFonts w:ascii="Times New Roman" w:hAnsi="Times New Roman" w:cs="Times New Roman"/>
                <w:sz w:val="24"/>
                <w:szCs w:val="24"/>
                <w:lang w:eastAsia="ru-RU"/>
              </w:rPr>
            </w:pPr>
            <w:r w:rsidRPr="00885986">
              <w:rPr>
                <w:rFonts w:ascii="Times New Roman" w:hAnsi="Times New Roman" w:cs="Times New Roman"/>
                <w:sz w:val="24"/>
                <w:szCs w:val="24"/>
                <w:lang w:eastAsia="ru-RU"/>
              </w:rPr>
              <w:t>1283,04</w:t>
            </w:r>
          </w:p>
        </w:tc>
      </w:tr>
    </w:tbl>
    <w:p w:rsidR="003B2B97" w:rsidRDefault="00750DB3"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750DB3" w:rsidRPr="00DD64DC" w:rsidRDefault="00750DB3"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20701"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20701"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20701"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20701"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Устройство спортивной 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357775" w:rsidRDefault="00357775" w:rsidP="00357775">
            <w:pPr>
              <w:widowControl w:val="0"/>
              <w:autoSpaceDE w:val="0"/>
              <w:autoSpaceDN w:val="0"/>
              <w:adjustRightInd w:val="0"/>
              <w:spacing w:after="0" w:line="240" w:lineRule="auto"/>
              <w:jc w:val="both"/>
              <w:rPr>
                <w:rFonts w:ascii="Times New Roman" w:hAnsi="Times New Roman" w:cs="Times New Roman"/>
                <w:b/>
              </w:rPr>
            </w:pPr>
            <w:r w:rsidRPr="00357775">
              <w:rPr>
                <w:rFonts w:ascii="Times New Roman" w:hAnsi="Times New Roman" w:cs="Times New Roman"/>
                <w:b/>
              </w:rPr>
              <w:t>6094,774</w:t>
            </w:r>
          </w:p>
        </w:tc>
        <w:tc>
          <w:tcPr>
            <w:tcW w:w="1417" w:type="dxa"/>
            <w:tcBorders>
              <w:top w:val="single" w:sz="4" w:space="0" w:color="auto"/>
              <w:left w:val="single" w:sz="4" w:space="0" w:color="auto"/>
              <w:bottom w:val="single" w:sz="4" w:space="0" w:color="auto"/>
              <w:right w:val="single" w:sz="4" w:space="0" w:color="auto"/>
            </w:tcBorders>
          </w:tcPr>
          <w:p w:rsidR="003B2B97" w:rsidRPr="00357775" w:rsidRDefault="003D5870" w:rsidP="009C008D">
            <w:pPr>
              <w:widowControl w:val="0"/>
              <w:autoSpaceDE w:val="0"/>
              <w:autoSpaceDN w:val="0"/>
              <w:adjustRightInd w:val="0"/>
              <w:spacing w:after="0" w:line="240" w:lineRule="auto"/>
              <w:jc w:val="center"/>
              <w:rPr>
                <w:rFonts w:ascii="Times New Roman" w:hAnsi="Times New Roman" w:cs="Times New Roman"/>
                <w:b/>
              </w:rPr>
            </w:pPr>
            <w:r w:rsidRPr="00357775">
              <w:rPr>
                <w:rFonts w:ascii="Times New Roman" w:hAnsi="Times New Roman" w:cs="Times New Roman"/>
                <w:b/>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357775" w:rsidRDefault="003D5870" w:rsidP="009C008D">
            <w:pPr>
              <w:widowControl w:val="0"/>
              <w:autoSpaceDE w:val="0"/>
              <w:autoSpaceDN w:val="0"/>
              <w:adjustRightInd w:val="0"/>
              <w:spacing w:after="0" w:line="240" w:lineRule="auto"/>
              <w:jc w:val="center"/>
              <w:rPr>
                <w:rFonts w:ascii="Times New Roman" w:hAnsi="Times New Roman" w:cs="Times New Roman"/>
                <w:b/>
              </w:rPr>
            </w:pPr>
            <w:r w:rsidRPr="00357775">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357775" w:rsidRDefault="00357775" w:rsidP="009C008D">
            <w:pPr>
              <w:widowControl w:val="0"/>
              <w:autoSpaceDE w:val="0"/>
              <w:autoSpaceDN w:val="0"/>
              <w:adjustRightInd w:val="0"/>
              <w:spacing w:after="0" w:line="240" w:lineRule="auto"/>
              <w:jc w:val="center"/>
              <w:rPr>
                <w:rFonts w:ascii="Times New Roman" w:hAnsi="Times New Roman" w:cs="Times New Roman"/>
                <w:b/>
              </w:rPr>
            </w:pPr>
            <w:r w:rsidRPr="00357775">
              <w:rPr>
                <w:rFonts w:ascii="Times New Roman" w:hAnsi="Times New Roman" w:cs="Times New Roman"/>
                <w:b/>
              </w:rPr>
              <w:t>4772,054</w:t>
            </w:r>
          </w:p>
        </w:tc>
        <w:tc>
          <w:tcPr>
            <w:tcW w:w="1559" w:type="dxa"/>
            <w:tcBorders>
              <w:top w:val="single" w:sz="4" w:space="0" w:color="auto"/>
              <w:left w:val="single" w:sz="4" w:space="0" w:color="auto"/>
              <w:bottom w:val="single" w:sz="4" w:space="0" w:color="auto"/>
              <w:right w:val="single" w:sz="4" w:space="0" w:color="auto"/>
            </w:tcBorders>
          </w:tcPr>
          <w:p w:rsidR="003B2B97" w:rsidRPr="00357775" w:rsidRDefault="003D5870" w:rsidP="009C008D">
            <w:pPr>
              <w:widowControl w:val="0"/>
              <w:autoSpaceDE w:val="0"/>
              <w:autoSpaceDN w:val="0"/>
              <w:adjustRightInd w:val="0"/>
              <w:spacing w:after="0" w:line="240" w:lineRule="auto"/>
              <w:jc w:val="center"/>
              <w:rPr>
                <w:rFonts w:ascii="Times New Roman" w:hAnsi="Times New Roman" w:cs="Times New Roman"/>
                <w:b/>
              </w:rPr>
            </w:pPr>
            <w:r w:rsidRPr="00357775">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357775" w:rsidRDefault="005E037D" w:rsidP="009C008D">
            <w:pPr>
              <w:widowControl w:val="0"/>
              <w:autoSpaceDE w:val="0"/>
              <w:autoSpaceDN w:val="0"/>
              <w:adjustRightInd w:val="0"/>
              <w:spacing w:after="0" w:line="240" w:lineRule="auto"/>
              <w:jc w:val="center"/>
              <w:rPr>
                <w:rFonts w:ascii="Times New Roman" w:hAnsi="Times New Roman" w:cs="Times New Roman"/>
                <w:b/>
              </w:rPr>
            </w:pPr>
            <w:r w:rsidRPr="00357775">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A7F34" w:rsidRDefault="00EA6934" w:rsidP="00EA69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B49E4" w:rsidRPr="00DB49E4">
              <w:rPr>
                <w:rFonts w:ascii="Times New Roman" w:hAnsi="Times New Roman" w:cs="Times New Roman"/>
                <w:sz w:val="24"/>
                <w:szCs w:val="24"/>
                <w:lang w:eastAsia="ru-RU"/>
              </w:rPr>
              <w:t>37988,694</w:t>
            </w:r>
            <w:r w:rsidR="00DB49E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00DB49E4" w:rsidRPr="00DB49E4">
              <w:rPr>
                <w:rFonts w:ascii="Times New Roman" w:hAnsi="Times New Roman" w:cs="Times New Roman"/>
                <w:sz w:val="24"/>
                <w:szCs w:val="24"/>
                <w:lang w:eastAsia="ru-RU"/>
              </w:rPr>
              <w:t>698,9</w:t>
            </w:r>
            <w:r w:rsidR="00DB49E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00DB49E4" w:rsidRPr="00DB49E4">
              <w:rPr>
                <w:rFonts w:ascii="Times New Roman" w:hAnsi="Times New Roman" w:cs="Times New Roman"/>
                <w:sz w:val="24"/>
                <w:szCs w:val="24"/>
                <w:lang w:eastAsia="ru-RU"/>
              </w:rPr>
              <w:t>832,1</w:t>
            </w:r>
            <w:r w:rsidR="00DB49E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w:t>
            </w:r>
            <w:r w:rsidR="00DB49E4" w:rsidRPr="00FA7F34">
              <w:rPr>
                <w:rFonts w:ascii="Times New Roman" w:hAnsi="Times New Roman" w:cs="Times New Roman"/>
                <w:sz w:val="24"/>
                <w:szCs w:val="24"/>
                <w:lang w:eastAsia="ru-RU"/>
              </w:rPr>
              <w:t>, в</w:t>
            </w:r>
            <w:r w:rsidRPr="00FA7F34">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A69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EA6934" w:rsidRPr="00FA7F34" w:rsidTr="00DB49E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936"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5648,1</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124,9</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5280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720701">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15583,25</w:t>
                  </w:r>
                  <w:r w:rsidR="00720701">
                    <w:rPr>
                      <w:rFonts w:ascii="Times New Roman" w:hAnsi="Times New Roman" w:cs="Times New Roman"/>
                      <w:sz w:val="24"/>
                      <w:szCs w:val="24"/>
                      <w:lang w:eastAsia="ru-RU"/>
                    </w:rPr>
                    <w:t>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52</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15334,958</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16212,036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173</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15842,736</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359,3</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163</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186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186</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37988,694</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698,9</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36457,694</w:t>
                  </w:r>
                </w:p>
              </w:tc>
            </w:tr>
          </w:tbl>
          <w:p w:rsidR="003B2B97" w:rsidRPr="00DD64D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DB49E4" w:rsidRPr="00FA7F34" w:rsidRDefault="00DB49E4" w:rsidP="00DB49E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DB49E4">
        <w:rPr>
          <w:rFonts w:ascii="Times New Roman" w:hAnsi="Times New Roman" w:cs="Times New Roman"/>
          <w:sz w:val="24"/>
          <w:szCs w:val="24"/>
          <w:lang w:eastAsia="ru-RU"/>
        </w:rPr>
        <w:t>37988,694</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DB49E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DB49E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936"/>
        <w:gridCol w:w="1630"/>
      </w:tblGrid>
      <w:tr w:rsidR="00DB49E4" w:rsidRPr="00FA7F34" w:rsidTr="00DB49E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DB49E4" w:rsidRPr="00FA7F34" w:rsidTr="00DB49E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spacing w:after="0" w:line="240" w:lineRule="auto"/>
              <w:rPr>
                <w:rFonts w:ascii="Times New Roman" w:hAnsi="Times New Roman" w:cs="Times New Roman"/>
                <w:sz w:val="24"/>
                <w:szCs w:val="24"/>
                <w:lang w:eastAsia="ru-RU"/>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936" w:type="dxa"/>
            <w:tcBorders>
              <w:top w:val="single" w:sz="4" w:space="0" w:color="auto"/>
              <w:left w:val="single" w:sz="4" w:space="0" w:color="auto"/>
              <w:bottom w:val="single" w:sz="4" w:space="0" w:color="auto"/>
              <w:right w:val="single" w:sz="4" w:space="0" w:color="auto"/>
            </w:tcBorders>
            <w:vAlign w:val="center"/>
            <w:hideMark/>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DB49E4" w:rsidRPr="00FA7F34" w:rsidRDefault="00DB49E4" w:rsidP="00DB49E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5648,1</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124,9</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5280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720701">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15583,25</w:t>
            </w:r>
            <w:r w:rsidR="00720701">
              <w:rPr>
                <w:rFonts w:ascii="Times New Roman" w:hAnsi="Times New Roman" w:cs="Times New Roman"/>
                <w:sz w:val="24"/>
                <w:szCs w:val="24"/>
                <w:lang w:eastAsia="ru-RU"/>
              </w:rPr>
              <w:t>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52</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15334,958</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16212,036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173</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15842,736</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359,3</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163</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186</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186</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0</w:t>
            </w:r>
          </w:p>
        </w:tc>
      </w:tr>
      <w:tr w:rsidR="00DB49E4" w:rsidRPr="00EA6934" w:rsidTr="00DB49E4">
        <w:trPr>
          <w:jc w:val="center"/>
        </w:trPr>
        <w:tc>
          <w:tcPr>
            <w:tcW w:w="1384" w:type="dxa"/>
            <w:tcBorders>
              <w:top w:val="single" w:sz="4" w:space="0" w:color="auto"/>
              <w:left w:val="single" w:sz="4" w:space="0" w:color="auto"/>
              <w:bottom w:val="single" w:sz="4" w:space="0" w:color="auto"/>
              <w:right w:val="single" w:sz="4" w:space="0" w:color="auto"/>
            </w:tcBorders>
            <w:hideMark/>
          </w:tcPr>
          <w:p w:rsidR="00DB49E4" w:rsidRPr="00FA7F34" w:rsidRDefault="00DB49E4" w:rsidP="00DB49E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37988,694</w:t>
            </w:r>
          </w:p>
        </w:tc>
        <w:tc>
          <w:tcPr>
            <w:tcW w:w="136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698,9</w:t>
            </w:r>
          </w:p>
        </w:tc>
        <w:tc>
          <w:tcPr>
            <w:tcW w:w="1936"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DB49E4" w:rsidRPr="00DB49E4" w:rsidRDefault="00DB49E4" w:rsidP="00DB49E4">
            <w:pPr>
              <w:rPr>
                <w:rFonts w:ascii="Times New Roman" w:hAnsi="Times New Roman" w:cs="Times New Roman"/>
                <w:sz w:val="24"/>
                <w:szCs w:val="24"/>
                <w:lang w:eastAsia="ru-RU"/>
              </w:rPr>
            </w:pPr>
            <w:r w:rsidRPr="00DB49E4">
              <w:rPr>
                <w:rFonts w:ascii="Times New Roman" w:hAnsi="Times New Roman" w:cs="Times New Roman"/>
                <w:sz w:val="24"/>
                <w:szCs w:val="24"/>
                <w:lang w:eastAsia="ru-RU"/>
              </w:rPr>
              <w:t>36457,694</w:t>
            </w:r>
          </w:p>
        </w:tc>
      </w:tr>
    </w:tbl>
    <w:p w:rsidR="002F4AE4" w:rsidRDefault="00DB49E4" w:rsidP="00DB49E4">
      <w:pPr>
        <w:tabs>
          <w:tab w:val="left" w:pos="1276"/>
        </w:tabs>
        <w:spacing w:after="0" w:line="240" w:lineRule="auto"/>
        <w:ind w:left="709" w:right="624"/>
        <w:jc w:val="both"/>
        <w:rPr>
          <w:rFonts w:ascii="Times New Roman" w:hAnsi="Times New Roman" w:cs="Times New Roman"/>
          <w:b/>
          <w:bCs/>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w:t>
      </w:r>
    </w:p>
    <w:p w:rsidR="00863299" w:rsidRDefault="00863299"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ПЕРЕЧЕНЬ ПРОГРАММНЫХ МЕРОПРИЯТИЙ МУНИЦИПАЛЬНОЙ ПОДПРОГРАММЫ</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DD64DC" w:rsidTr="00EA6934">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EA6934" w:rsidRPr="00DD64DC" w:rsidTr="00EA693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100% </w:t>
            </w:r>
            <w:r w:rsidRPr="00DD64DC">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DD64DC" w:rsidTr="00EA693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36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59"/>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3"/>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0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1"/>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53"/>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1C520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1C520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5.9</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5.10</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A6934" w:rsidRPr="00DD64DC" w:rsidTr="00EA6934">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b/>
                <w:lang w:eastAsia="ru-RU"/>
              </w:rPr>
            </w:pPr>
            <w:r w:rsidRPr="00DD64DC">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A6934" w:rsidRPr="00015E11" w:rsidRDefault="00357775" w:rsidP="00EA6934">
            <w:pPr>
              <w:rPr>
                <w:rFonts w:ascii="Times New Roman" w:hAnsi="Times New Roman" w:cs="Times New Roman"/>
                <w:b/>
                <w:lang w:eastAsia="ru-RU"/>
              </w:rPr>
            </w:pPr>
            <w:r w:rsidRPr="00357775">
              <w:rPr>
                <w:rFonts w:ascii="Times New Roman" w:hAnsi="Times New Roman" w:cs="Times New Roman"/>
                <w:b/>
                <w:lang w:eastAsia="ru-RU"/>
              </w:rPr>
              <w:t>37988,694</w:t>
            </w:r>
          </w:p>
        </w:tc>
        <w:tc>
          <w:tcPr>
            <w:tcW w:w="837"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EA6934" w:rsidRPr="00015E11" w:rsidRDefault="00EA6934" w:rsidP="00EA6934">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EA6934" w:rsidRPr="00F86335" w:rsidRDefault="00EA6934" w:rsidP="00EA6934">
            <w:pPr>
              <w:widowControl w:val="0"/>
              <w:autoSpaceDE w:val="0"/>
              <w:autoSpaceDN w:val="0"/>
              <w:adjustRightInd w:val="0"/>
              <w:spacing w:after="0" w:line="240" w:lineRule="auto"/>
              <w:rPr>
                <w:rFonts w:ascii="Times New Roman" w:hAnsi="Times New Roman" w:cs="Times New Roman"/>
                <w:b/>
                <w:lang w:eastAsia="ru-RU"/>
              </w:rPr>
            </w:pPr>
            <w:r>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735" w:rsidRDefault="005D7735" w:rsidP="00330C92">
      <w:pPr>
        <w:spacing w:after="0" w:line="240" w:lineRule="auto"/>
      </w:pPr>
      <w:r>
        <w:separator/>
      </w:r>
    </w:p>
  </w:endnote>
  <w:endnote w:type="continuationSeparator" w:id="0">
    <w:p w:rsidR="005D7735" w:rsidRDefault="005D7735"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735" w:rsidRDefault="005D7735" w:rsidP="00330C92">
      <w:pPr>
        <w:spacing w:after="0" w:line="240" w:lineRule="auto"/>
      </w:pPr>
      <w:r>
        <w:separator/>
      </w:r>
    </w:p>
  </w:footnote>
  <w:footnote w:type="continuationSeparator" w:id="0">
    <w:p w:rsidR="005D7735" w:rsidRDefault="005D7735"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EndPr/>
    <w:sdtContent>
      <w:p w:rsidR="005D7735" w:rsidRDefault="005D7735">
        <w:pPr>
          <w:pStyle w:val="a8"/>
          <w:jc w:val="right"/>
        </w:pPr>
        <w:r>
          <w:fldChar w:fldCharType="begin"/>
        </w:r>
        <w:r>
          <w:instrText xml:space="preserve"> PAGE   \* MERGEFORMAT </w:instrText>
        </w:r>
        <w:r>
          <w:fldChar w:fldCharType="separate"/>
        </w:r>
        <w:r w:rsidR="0095354E">
          <w:rPr>
            <w:noProof/>
          </w:rPr>
          <w:t>1</w:t>
        </w:r>
        <w:r>
          <w:rPr>
            <w:noProof/>
          </w:rPr>
          <w:fldChar w:fldCharType="end"/>
        </w:r>
      </w:p>
    </w:sdtContent>
  </w:sdt>
  <w:p w:rsidR="005D7735" w:rsidRDefault="005D773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020319"/>
      <w:docPartObj>
        <w:docPartGallery w:val="Page Numbers (Top of Page)"/>
        <w:docPartUnique/>
      </w:docPartObj>
    </w:sdtPr>
    <w:sdtEndPr/>
    <w:sdtContent>
      <w:p w:rsidR="005D7735" w:rsidRDefault="005D7735">
        <w:pPr>
          <w:pStyle w:val="a8"/>
          <w:jc w:val="right"/>
        </w:pPr>
        <w:r>
          <w:fldChar w:fldCharType="begin"/>
        </w:r>
        <w:r>
          <w:instrText xml:space="preserve"> PAGE   \* MERGEFORMAT </w:instrText>
        </w:r>
        <w:r>
          <w:fldChar w:fldCharType="separate"/>
        </w:r>
        <w:r w:rsidR="0095354E">
          <w:rPr>
            <w:noProof/>
          </w:rPr>
          <w:t>22</w:t>
        </w:r>
        <w:r>
          <w:rPr>
            <w:noProof/>
          </w:rPr>
          <w:fldChar w:fldCharType="end"/>
        </w:r>
      </w:p>
    </w:sdtContent>
  </w:sdt>
  <w:p w:rsidR="005D7735" w:rsidRDefault="005D7735">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EndPr/>
    <w:sdtContent>
      <w:p w:rsidR="005D7735" w:rsidRDefault="005D7735">
        <w:pPr>
          <w:pStyle w:val="a8"/>
          <w:jc w:val="right"/>
        </w:pPr>
        <w:r>
          <w:fldChar w:fldCharType="begin"/>
        </w:r>
        <w:r>
          <w:instrText xml:space="preserve"> PAGE   \* MERGEFORMAT </w:instrText>
        </w:r>
        <w:r>
          <w:fldChar w:fldCharType="separate"/>
        </w:r>
        <w:r w:rsidR="0095354E">
          <w:rPr>
            <w:noProof/>
          </w:rPr>
          <w:t>76</w:t>
        </w:r>
        <w:r>
          <w:rPr>
            <w:noProof/>
          </w:rPr>
          <w:fldChar w:fldCharType="end"/>
        </w:r>
      </w:p>
    </w:sdtContent>
  </w:sdt>
  <w:p w:rsidR="005D7735" w:rsidRDefault="005D773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63B94"/>
    <w:rsid w:val="00064DCF"/>
    <w:rsid w:val="00070143"/>
    <w:rsid w:val="000708AD"/>
    <w:rsid w:val="00075922"/>
    <w:rsid w:val="00086F34"/>
    <w:rsid w:val="000901CC"/>
    <w:rsid w:val="00091A62"/>
    <w:rsid w:val="000B3DE1"/>
    <w:rsid w:val="000B5CD7"/>
    <w:rsid w:val="000C68EC"/>
    <w:rsid w:val="00105632"/>
    <w:rsid w:val="001166F5"/>
    <w:rsid w:val="00116727"/>
    <w:rsid w:val="00130F21"/>
    <w:rsid w:val="00133504"/>
    <w:rsid w:val="00134699"/>
    <w:rsid w:val="00153DCF"/>
    <w:rsid w:val="00155679"/>
    <w:rsid w:val="00157269"/>
    <w:rsid w:val="00163911"/>
    <w:rsid w:val="00163CD3"/>
    <w:rsid w:val="00183B8C"/>
    <w:rsid w:val="001A364C"/>
    <w:rsid w:val="001B712C"/>
    <w:rsid w:val="001C5204"/>
    <w:rsid w:val="001D20EA"/>
    <w:rsid w:val="001E5088"/>
    <w:rsid w:val="001E589D"/>
    <w:rsid w:val="002066EA"/>
    <w:rsid w:val="002174D4"/>
    <w:rsid w:val="002228E1"/>
    <w:rsid w:val="002255B0"/>
    <w:rsid w:val="0023645F"/>
    <w:rsid w:val="002474D1"/>
    <w:rsid w:val="00247C19"/>
    <w:rsid w:val="00256780"/>
    <w:rsid w:val="00266580"/>
    <w:rsid w:val="0027272A"/>
    <w:rsid w:val="00275831"/>
    <w:rsid w:val="00293424"/>
    <w:rsid w:val="00297EC8"/>
    <w:rsid w:val="002A3667"/>
    <w:rsid w:val="002A3D93"/>
    <w:rsid w:val="002A6BA3"/>
    <w:rsid w:val="002B748C"/>
    <w:rsid w:val="002D0ED9"/>
    <w:rsid w:val="002D1C7B"/>
    <w:rsid w:val="002D1F90"/>
    <w:rsid w:val="002E103D"/>
    <w:rsid w:val="002E6E21"/>
    <w:rsid w:val="002F0682"/>
    <w:rsid w:val="002F4AE4"/>
    <w:rsid w:val="002F70AB"/>
    <w:rsid w:val="00303D59"/>
    <w:rsid w:val="0032343E"/>
    <w:rsid w:val="00326241"/>
    <w:rsid w:val="00330C92"/>
    <w:rsid w:val="00345DCF"/>
    <w:rsid w:val="0035191E"/>
    <w:rsid w:val="00357775"/>
    <w:rsid w:val="0039387A"/>
    <w:rsid w:val="00397116"/>
    <w:rsid w:val="003A1AF9"/>
    <w:rsid w:val="003A55A0"/>
    <w:rsid w:val="003A59AE"/>
    <w:rsid w:val="003B2B97"/>
    <w:rsid w:val="003B6976"/>
    <w:rsid w:val="003C2D02"/>
    <w:rsid w:val="003C721B"/>
    <w:rsid w:val="003D5870"/>
    <w:rsid w:val="003D5BB0"/>
    <w:rsid w:val="003D791E"/>
    <w:rsid w:val="003F3257"/>
    <w:rsid w:val="003F4884"/>
    <w:rsid w:val="003F5F49"/>
    <w:rsid w:val="003F758A"/>
    <w:rsid w:val="00424426"/>
    <w:rsid w:val="00433590"/>
    <w:rsid w:val="00433D51"/>
    <w:rsid w:val="004346AB"/>
    <w:rsid w:val="00435E91"/>
    <w:rsid w:val="00444B75"/>
    <w:rsid w:val="004533C0"/>
    <w:rsid w:val="004855D5"/>
    <w:rsid w:val="004A2B35"/>
    <w:rsid w:val="004B30BC"/>
    <w:rsid w:val="004C3AF6"/>
    <w:rsid w:val="004E370A"/>
    <w:rsid w:val="00522AA8"/>
    <w:rsid w:val="00526ADC"/>
    <w:rsid w:val="005536AC"/>
    <w:rsid w:val="005617A9"/>
    <w:rsid w:val="005934A6"/>
    <w:rsid w:val="005A0AD2"/>
    <w:rsid w:val="005A4DF5"/>
    <w:rsid w:val="005A781A"/>
    <w:rsid w:val="005B703D"/>
    <w:rsid w:val="005B7439"/>
    <w:rsid w:val="005C122E"/>
    <w:rsid w:val="005C4B93"/>
    <w:rsid w:val="005D2E48"/>
    <w:rsid w:val="005D7735"/>
    <w:rsid w:val="005D77AE"/>
    <w:rsid w:val="005E037D"/>
    <w:rsid w:val="005F1819"/>
    <w:rsid w:val="006009C6"/>
    <w:rsid w:val="00620DC7"/>
    <w:rsid w:val="00626ECA"/>
    <w:rsid w:val="00656B1A"/>
    <w:rsid w:val="00691552"/>
    <w:rsid w:val="006C4083"/>
    <w:rsid w:val="006D3126"/>
    <w:rsid w:val="006E07F9"/>
    <w:rsid w:val="006E10DE"/>
    <w:rsid w:val="006E5582"/>
    <w:rsid w:val="006E6350"/>
    <w:rsid w:val="006F012F"/>
    <w:rsid w:val="006F3EA3"/>
    <w:rsid w:val="006F5732"/>
    <w:rsid w:val="00720701"/>
    <w:rsid w:val="00722FB0"/>
    <w:rsid w:val="00724305"/>
    <w:rsid w:val="00733430"/>
    <w:rsid w:val="0074344C"/>
    <w:rsid w:val="00747285"/>
    <w:rsid w:val="00750DB3"/>
    <w:rsid w:val="00752B96"/>
    <w:rsid w:val="00756A5A"/>
    <w:rsid w:val="00762E59"/>
    <w:rsid w:val="0077102B"/>
    <w:rsid w:val="007752D3"/>
    <w:rsid w:val="007848DA"/>
    <w:rsid w:val="00785589"/>
    <w:rsid w:val="0078616F"/>
    <w:rsid w:val="00787275"/>
    <w:rsid w:val="00793836"/>
    <w:rsid w:val="007B6D96"/>
    <w:rsid w:val="007D2DB8"/>
    <w:rsid w:val="007D302A"/>
    <w:rsid w:val="007D427E"/>
    <w:rsid w:val="007D71D1"/>
    <w:rsid w:val="007E7D36"/>
    <w:rsid w:val="007F54DC"/>
    <w:rsid w:val="00807396"/>
    <w:rsid w:val="00811691"/>
    <w:rsid w:val="00823C38"/>
    <w:rsid w:val="0083061A"/>
    <w:rsid w:val="00840C91"/>
    <w:rsid w:val="0084409D"/>
    <w:rsid w:val="008444FF"/>
    <w:rsid w:val="00845CB9"/>
    <w:rsid w:val="008511B3"/>
    <w:rsid w:val="00857274"/>
    <w:rsid w:val="00857809"/>
    <w:rsid w:val="00863299"/>
    <w:rsid w:val="0087219A"/>
    <w:rsid w:val="0087372B"/>
    <w:rsid w:val="00882079"/>
    <w:rsid w:val="00885986"/>
    <w:rsid w:val="00886906"/>
    <w:rsid w:val="008A56B5"/>
    <w:rsid w:val="008A5A9A"/>
    <w:rsid w:val="008D34AB"/>
    <w:rsid w:val="008F06DC"/>
    <w:rsid w:val="008F123D"/>
    <w:rsid w:val="008F7476"/>
    <w:rsid w:val="009027C8"/>
    <w:rsid w:val="0090364E"/>
    <w:rsid w:val="00904510"/>
    <w:rsid w:val="00922869"/>
    <w:rsid w:val="009249C0"/>
    <w:rsid w:val="0095354E"/>
    <w:rsid w:val="00960C08"/>
    <w:rsid w:val="009730B7"/>
    <w:rsid w:val="009A4F99"/>
    <w:rsid w:val="009A75FE"/>
    <w:rsid w:val="009C008D"/>
    <w:rsid w:val="009C6AF8"/>
    <w:rsid w:val="009D3544"/>
    <w:rsid w:val="009D6659"/>
    <w:rsid w:val="00A132FD"/>
    <w:rsid w:val="00A14429"/>
    <w:rsid w:val="00A14725"/>
    <w:rsid w:val="00A223A4"/>
    <w:rsid w:val="00A24171"/>
    <w:rsid w:val="00A332FD"/>
    <w:rsid w:val="00A5457B"/>
    <w:rsid w:val="00A74B2E"/>
    <w:rsid w:val="00A849E6"/>
    <w:rsid w:val="00A851A0"/>
    <w:rsid w:val="00AB4FEF"/>
    <w:rsid w:val="00AB784C"/>
    <w:rsid w:val="00AC630F"/>
    <w:rsid w:val="00AF7FFE"/>
    <w:rsid w:val="00B00489"/>
    <w:rsid w:val="00B2258F"/>
    <w:rsid w:val="00B26815"/>
    <w:rsid w:val="00B31571"/>
    <w:rsid w:val="00B4150D"/>
    <w:rsid w:val="00B611FC"/>
    <w:rsid w:val="00B65A4D"/>
    <w:rsid w:val="00B668ED"/>
    <w:rsid w:val="00B70B4C"/>
    <w:rsid w:val="00B84727"/>
    <w:rsid w:val="00B854CC"/>
    <w:rsid w:val="00B9222F"/>
    <w:rsid w:val="00BA4009"/>
    <w:rsid w:val="00BB473E"/>
    <w:rsid w:val="00BB6884"/>
    <w:rsid w:val="00BC169C"/>
    <w:rsid w:val="00BD4A3B"/>
    <w:rsid w:val="00BE26CA"/>
    <w:rsid w:val="00BE6099"/>
    <w:rsid w:val="00BE730D"/>
    <w:rsid w:val="00C05489"/>
    <w:rsid w:val="00C0735B"/>
    <w:rsid w:val="00C17E89"/>
    <w:rsid w:val="00C349C0"/>
    <w:rsid w:val="00C529B1"/>
    <w:rsid w:val="00C571BC"/>
    <w:rsid w:val="00C662F7"/>
    <w:rsid w:val="00C6681C"/>
    <w:rsid w:val="00C677A5"/>
    <w:rsid w:val="00C8265C"/>
    <w:rsid w:val="00C86CCE"/>
    <w:rsid w:val="00C92DEA"/>
    <w:rsid w:val="00CA0341"/>
    <w:rsid w:val="00CA1823"/>
    <w:rsid w:val="00CA1B25"/>
    <w:rsid w:val="00CA3277"/>
    <w:rsid w:val="00CD4DC6"/>
    <w:rsid w:val="00CF311F"/>
    <w:rsid w:val="00CF7E98"/>
    <w:rsid w:val="00D05875"/>
    <w:rsid w:val="00D127D9"/>
    <w:rsid w:val="00D20826"/>
    <w:rsid w:val="00D464B9"/>
    <w:rsid w:val="00D61080"/>
    <w:rsid w:val="00D6150E"/>
    <w:rsid w:val="00D6277E"/>
    <w:rsid w:val="00D639A2"/>
    <w:rsid w:val="00D65514"/>
    <w:rsid w:val="00D73290"/>
    <w:rsid w:val="00D75EA0"/>
    <w:rsid w:val="00D82996"/>
    <w:rsid w:val="00D8668C"/>
    <w:rsid w:val="00D96419"/>
    <w:rsid w:val="00D96ABD"/>
    <w:rsid w:val="00D96F15"/>
    <w:rsid w:val="00DA129E"/>
    <w:rsid w:val="00DB49E4"/>
    <w:rsid w:val="00DD64DC"/>
    <w:rsid w:val="00DD73AE"/>
    <w:rsid w:val="00DF0C0B"/>
    <w:rsid w:val="00E1414A"/>
    <w:rsid w:val="00E40E73"/>
    <w:rsid w:val="00E548F9"/>
    <w:rsid w:val="00E554EA"/>
    <w:rsid w:val="00E577E3"/>
    <w:rsid w:val="00E7299D"/>
    <w:rsid w:val="00E75015"/>
    <w:rsid w:val="00E86A46"/>
    <w:rsid w:val="00E95684"/>
    <w:rsid w:val="00E96891"/>
    <w:rsid w:val="00EA0AF8"/>
    <w:rsid w:val="00EA6934"/>
    <w:rsid w:val="00EA702A"/>
    <w:rsid w:val="00EC66E4"/>
    <w:rsid w:val="00EE4BD8"/>
    <w:rsid w:val="00EE4E49"/>
    <w:rsid w:val="00F0503F"/>
    <w:rsid w:val="00F063C3"/>
    <w:rsid w:val="00F06B35"/>
    <w:rsid w:val="00F110B6"/>
    <w:rsid w:val="00F16478"/>
    <w:rsid w:val="00F172D3"/>
    <w:rsid w:val="00F222CE"/>
    <w:rsid w:val="00F33829"/>
    <w:rsid w:val="00F44F77"/>
    <w:rsid w:val="00F53F5A"/>
    <w:rsid w:val="00F56A54"/>
    <w:rsid w:val="00F64093"/>
    <w:rsid w:val="00F71CCD"/>
    <w:rsid w:val="00F87ADB"/>
    <w:rsid w:val="00F9455D"/>
    <w:rsid w:val="00F949F5"/>
    <w:rsid w:val="00F97BE0"/>
    <w:rsid w:val="00FA7F34"/>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2415"/>
  <w15:docId w15:val="{05EB3870-9BE2-4DA7-AB55-2708CA31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29E"/>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85213184"/>
        <c:axId val="85214720"/>
      </c:barChart>
      <c:catAx>
        <c:axId val="852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4720"/>
        <c:crosses val="autoZero"/>
        <c:auto val="1"/>
        <c:lblAlgn val="ctr"/>
        <c:lblOffset val="100"/>
        <c:noMultiLvlLbl val="0"/>
      </c:catAx>
      <c:valAx>
        <c:axId val="8521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3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85378176"/>
        <c:axId val="85379712"/>
      </c:barChart>
      <c:catAx>
        <c:axId val="85378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9712"/>
        <c:crosses val="autoZero"/>
        <c:auto val="1"/>
        <c:lblAlgn val="ctr"/>
        <c:lblOffset val="100"/>
        <c:noMultiLvlLbl val="0"/>
      </c:catAx>
      <c:valAx>
        <c:axId val="8537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81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74BF6-BBC0-4C7D-92FD-170055AF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7337</TotalTime>
  <Pages>76</Pages>
  <Words>20463</Words>
  <Characters>116644</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Татьяна Николаевна</cp:lastModifiedBy>
  <cp:revision>28</cp:revision>
  <cp:lastPrinted>2021-05-31T05:48:00Z</cp:lastPrinted>
  <dcterms:created xsi:type="dcterms:W3CDTF">2020-03-23T05:09:00Z</dcterms:created>
  <dcterms:modified xsi:type="dcterms:W3CDTF">2022-01-12T03:22:00Z</dcterms:modified>
</cp:coreProperties>
</file>