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3B" w:rsidRPr="0068553B" w:rsidRDefault="0068553B" w:rsidP="0068553B">
      <w:pPr>
        <w:pStyle w:val="a7"/>
        <w:tabs>
          <w:tab w:val="left" w:pos="180"/>
        </w:tabs>
        <w:rPr>
          <w:sz w:val="24"/>
          <w:szCs w:val="24"/>
        </w:rPr>
      </w:pPr>
      <w:r w:rsidRPr="0068553B">
        <w:rPr>
          <w:noProof/>
          <w:sz w:val="24"/>
          <w:szCs w:val="24"/>
        </w:rPr>
        <w:drawing>
          <wp:inline distT="0" distB="0" distL="0" distR="0">
            <wp:extent cx="514350" cy="69215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3B" w:rsidRPr="0068553B" w:rsidRDefault="0068553B" w:rsidP="0068553B">
      <w:pPr>
        <w:pStyle w:val="a7"/>
        <w:tabs>
          <w:tab w:val="left" w:pos="180"/>
        </w:tabs>
        <w:rPr>
          <w:sz w:val="24"/>
          <w:szCs w:val="24"/>
        </w:rPr>
      </w:pPr>
    </w:p>
    <w:p w:rsidR="0068553B" w:rsidRPr="00CC47C4" w:rsidRDefault="0068553B" w:rsidP="0068553B">
      <w:pPr>
        <w:pStyle w:val="11"/>
        <w:rPr>
          <w:szCs w:val="28"/>
        </w:rPr>
      </w:pPr>
      <w:r w:rsidRPr="00CC47C4">
        <w:rPr>
          <w:szCs w:val="28"/>
        </w:rPr>
        <w:t>АДМИНИСТРАЦИЯ ШЕГАРСКОГО РАЙОНА</w:t>
      </w:r>
    </w:p>
    <w:p w:rsidR="0068553B" w:rsidRPr="00CC47C4" w:rsidRDefault="0068553B" w:rsidP="0068553B">
      <w:pPr>
        <w:pStyle w:val="11"/>
        <w:rPr>
          <w:b w:val="0"/>
          <w:szCs w:val="28"/>
        </w:rPr>
      </w:pPr>
      <w:r w:rsidRPr="00CC47C4">
        <w:rPr>
          <w:b w:val="0"/>
          <w:szCs w:val="28"/>
        </w:rPr>
        <w:t>ТОМСКОЙ ОБЛАСТИ</w:t>
      </w:r>
    </w:p>
    <w:p w:rsidR="00CC47C4" w:rsidRPr="0068553B" w:rsidRDefault="00CC47C4" w:rsidP="0068553B">
      <w:pPr>
        <w:pStyle w:val="11"/>
        <w:rPr>
          <w:b w:val="0"/>
          <w:sz w:val="24"/>
          <w:szCs w:val="24"/>
        </w:rPr>
      </w:pPr>
    </w:p>
    <w:p w:rsidR="0068553B" w:rsidRPr="00CC47C4" w:rsidRDefault="0068553B" w:rsidP="0068553B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CC47C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CC47C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68553B" w:rsidRPr="00CC47C4" w:rsidRDefault="001F13D1" w:rsidP="0068553B">
      <w:pPr>
        <w:pStyle w:val="10"/>
        <w:widowControl w:val="0"/>
        <w:tabs>
          <w:tab w:val="left" w:pos="7938"/>
        </w:tabs>
        <w:jc w:val="both"/>
        <w:rPr>
          <w:sz w:val="28"/>
          <w:szCs w:val="28"/>
        </w:rPr>
      </w:pPr>
      <w:r w:rsidRPr="00CC47C4">
        <w:rPr>
          <w:sz w:val="28"/>
          <w:szCs w:val="28"/>
        </w:rPr>
        <w:t>30.12.</w:t>
      </w:r>
      <w:r w:rsidR="0068553B" w:rsidRPr="00CC47C4">
        <w:rPr>
          <w:sz w:val="28"/>
          <w:szCs w:val="28"/>
        </w:rPr>
        <w:t>2014</w:t>
      </w:r>
      <w:r w:rsidR="0068553B" w:rsidRPr="0068553B">
        <w:rPr>
          <w:sz w:val="24"/>
          <w:szCs w:val="24"/>
        </w:rPr>
        <w:tab/>
      </w:r>
      <w:r w:rsidR="0068553B" w:rsidRPr="00CC47C4">
        <w:rPr>
          <w:sz w:val="28"/>
          <w:szCs w:val="28"/>
        </w:rPr>
        <w:t xml:space="preserve">№ </w:t>
      </w:r>
      <w:r w:rsidRPr="00CC47C4">
        <w:rPr>
          <w:sz w:val="28"/>
          <w:szCs w:val="28"/>
        </w:rPr>
        <w:t>1512</w:t>
      </w:r>
    </w:p>
    <w:p w:rsidR="0068553B" w:rsidRDefault="0068553B" w:rsidP="0068553B">
      <w:pPr>
        <w:pStyle w:val="10"/>
        <w:widowControl w:val="0"/>
        <w:jc w:val="center"/>
        <w:rPr>
          <w:sz w:val="24"/>
          <w:szCs w:val="24"/>
        </w:rPr>
      </w:pPr>
      <w:r w:rsidRPr="0068553B">
        <w:rPr>
          <w:sz w:val="24"/>
          <w:szCs w:val="24"/>
        </w:rPr>
        <w:t>с. Мельниково</w:t>
      </w:r>
    </w:p>
    <w:p w:rsidR="004D6458" w:rsidRPr="0068553B" w:rsidRDefault="004D6458" w:rsidP="0068553B">
      <w:pPr>
        <w:pStyle w:val="10"/>
        <w:widowControl w:val="0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68553B" w:rsidRPr="004D6458" w:rsidTr="005C1111">
        <w:tc>
          <w:tcPr>
            <w:tcW w:w="4786" w:type="dxa"/>
          </w:tcPr>
          <w:p w:rsidR="0068553B" w:rsidRPr="004D6458" w:rsidRDefault="0068553B" w:rsidP="00CC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458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«Доступная среда для инвалидов на период 2015-2017 годы»</w:t>
            </w:r>
          </w:p>
        </w:tc>
      </w:tr>
    </w:tbl>
    <w:p w:rsidR="0068553B" w:rsidRPr="004D6458" w:rsidRDefault="0068553B" w:rsidP="00CC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3B" w:rsidRPr="004D6458" w:rsidRDefault="0068553B" w:rsidP="00CC4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45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68553B" w:rsidRPr="004D6458" w:rsidRDefault="0068553B" w:rsidP="00CC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3B" w:rsidRPr="00CC47C4" w:rsidRDefault="0068553B" w:rsidP="00CC4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7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553B" w:rsidRPr="004D6458" w:rsidRDefault="0068553B" w:rsidP="00CC4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53B" w:rsidRDefault="0068553B" w:rsidP="00CC47C4">
      <w:pPr>
        <w:pStyle w:val="a8"/>
        <w:numPr>
          <w:ilvl w:val="0"/>
          <w:numId w:val="5"/>
        </w:numPr>
        <w:ind w:left="0" w:firstLine="709"/>
        <w:rPr>
          <w:b w:val="0"/>
          <w:sz w:val="28"/>
          <w:szCs w:val="28"/>
        </w:rPr>
      </w:pPr>
      <w:r w:rsidRPr="004D6458">
        <w:rPr>
          <w:b w:val="0"/>
          <w:sz w:val="28"/>
          <w:szCs w:val="28"/>
        </w:rPr>
        <w:t xml:space="preserve">Утвердить муниципальную программу </w:t>
      </w:r>
      <w:r w:rsidR="008053CF" w:rsidRPr="004D6458">
        <w:rPr>
          <w:b w:val="0"/>
          <w:sz w:val="28"/>
          <w:szCs w:val="28"/>
        </w:rPr>
        <w:t>«</w:t>
      </w:r>
      <w:r w:rsidRPr="004D6458">
        <w:rPr>
          <w:b w:val="0"/>
          <w:sz w:val="28"/>
          <w:szCs w:val="28"/>
        </w:rPr>
        <w:t>Доступная среда для инвалидов на период 2015-2017 годы»,</w:t>
      </w:r>
      <w:r w:rsidRPr="004D6458">
        <w:rPr>
          <w:sz w:val="28"/>
          <w:szCs w:val="28"/>
        </w:rPr>
        <w:t xml:space="preserve"> </w:t>
      </w:r>
      <w:r w:rsidRPr="004D6458">
        <w:rPr>
          <w:b w:val="0"/>
          <w:sz w:val="28"/>
          <w:szCs w:val="28"/>
        </w:rPr>
        <w:t xml:space="preserve">согласно приложению к </w:t>
      </w:r>
      <w:r w:rsidR="004D6458">
        <w:rPr>
          <w:b w:val="0"/>
          <w:sz w:val="28"/>
          <w:szCs w:val="28"/>
        </w:rPr>
        <w:t>настоящему</w:t>
      </w:r>
      <w:r w:rsidRPr="004D6458">
        <w:rPr>
          <w:b w:val="0"/>
          <w:sz w:val="28"/>
          <w:szCs w:val="28"/>
        </w:rPr>
        <w:t xml:space="preserve"> постановлению.</w:t>
      </w:r>
    </w:p>
    <w:p w:rsidR="004D6458" w:rsidRPr="004D6458" w:rsidRDefault="004D6458" w:rsidP="00CC47C4">
      <w:pPr>
        <w:pStyle w:val="a8"/>
        <w:numPr>
          <w:ilvl w:val="0"/>
          <w:numId w:val="5"/>
        </w:numPr>
        <w:ind w:left="0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Опубликовать настоящее постановление в районной газете «Шегарский вестник» и разместить на официальном сайте муниципального образования «Шегарский район».</w:t>
      </w:r>
    </w:p>
    <w:p w:rsidR="0068553B" w:rsidRPr="004D6458" w:rsidRDefault="004D6458" w:rsidP="00CC47C4">
      <w:pPr>
        <w:pStyle w:val="a8"/>
        <w:ind w:firstLine="709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8553B" w:rsidRPr="004D6458">
        <w:rPr>
          <w:b w:val="0"/>
          <w:sz w:val="28"/>
          <w:szCs w:val="28"/>
        </w:rPr>
        <w:t xml:space="preserve">.  Контроль за исполнением </w:t>
      </w:r>
      <w:r>
        <w:rPr>
          <w:b w:val="0"/>
          <w:sz w:val="28"/>
          <w:szCs w:val="28"/>
        </w:rPr>
        <w:t xml:space="preserve">настоящего </w:t>
      </w:r>
      <w:r w:rsidR="0068553B" w:rsidRPr="004D6458">
        <w:rPr>
          <w:b w:val="0"/>
          <w:sz w:val="28"/>
          <w:szCs w:val="28"/>
        </w:rPr>
        <w:t xml:space="preserve">постановления возложить на заместителя Главы Шегарского района </w:t>
      </w:r>
      <w:proofErr w:type="gramStart"/>
      <w:r w:rsidR="0068553B" w:rsidRPr="004D6458">
        <w:rPr>
          <w:b w:val="0"/>
          <w:sz w:val="28"/>
          <w:szCs w:val="28"/>
        </w:rPr>
        <w:t>по</w:t>
      </w:r>
      <w:proofErr w:type="gramEnd"/>
      <w:r w:rsidR="0068553B" w:rsidRPr="004D6458">
        <w:rPr>
          <w:b w:val="0"/>
          <w:sz w:val="28"/>
          <w:szCs w:val="28"/>
        </w:rPr>
        <w:t xml:space="preserve"> </w:t>
      </w:r>
      <w:proofErr w:type="gramStart"/>
      <w:r w:rsidR="0068553B" w:rsidRPr="004D6458">
        <w:rPr>
          <w:b w:val="0"/>
          <w:sz w:val="28"/>
          <w:szCs w:val="28"/>
        </w:rPr>
        <w:t>социальной</w:t>
      </w:r>
      <w:proofErr w:type="gramEnd"/>
      <w:r w:rsidR="0068553B" w:rsidRPr="004D6458">
        <w:rPr>
          <w:b w:val="0"/>
          <w:sz w:val="28"/>
          <w:szCs w:val="28"/>
        </w:rPr>
        <w:t xml:space="preserve"> сферы Сычева А.Б.</w:t>
      </w:r>
    </w:p>
    <w:p w:rsidR="0068553B" w:rsidRPr="004D6458" w:rsidRDefault="0068553B" w:rsidP="00CC47C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8553B" w:rsidRPr="004D6458" w:rsidRDefault="0068553B" w:rsidP="00CC47C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8553B" w:rsidRPr="004D6458" w:rsidRDefault="0068553B" w:rsidP="00CC47C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8553B" w:rsidRPr="004D6458" w:rsidRDefault="0068553B" w:rsidP="00CC47C4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458">
        <w:rPr>
          <w:rFonts w:ascii="Times New Roman" w:hAnsi="Times New Roman" w:cs="Times New Roman"/>
          <w:sz w:val="28"/>
          <w:szCs w:val="28"/>
        </w:rPr>
        <w:t>Глава Шегарского района</w:t>
      </w:r>
      <w:r w:rsidR="00CC47C4">
        <w:rPr>
          <w:rFonts w:ascii="Times New Roman" w:hAnsi="Times New Roman" w:cs="Times New Roman"/>
          <w:sz w:val="28"/>
          <w:szCs w:val="28"/>
        </w:rPr>
        <w:tab/>
        <w:t xml:space="preserve">В.Г. </w:t>
      </w:r>
      <w:r w:rsidRPr="004D6458">
        <w:rPr>
          <w:rFonts w:ascii="Times New Roman" w:hAnsi="Times New Roman" w:cs="Times New Roman"/>
          <w:sz w:val="28"/>
          <w:szCs w:val="28"/>
        </w:rPr>
        <w:t xml:space="preserve">Емельянов </w:t>
      </w:r>
    </w:p>
    <w:p w:rsidR="0068553B" w:rsidRDefault="0068553B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4" w:rsidRDefault="00CC47C4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4" w:rsidRDefault="00CC47C4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4" w:rsidRDefault="00CC47C4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4" w:rsidRDefault="00CC47C4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4" w:rsidRDefault="00CC47C4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4" w:rsidRPr="0068553B" w:rsidRDefault="00CC47C4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53B" w:rsidRPr="0068553B" w:rsidRDefault="0068553B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53B" w:rsidRPr="0068553B" w:rsidRDefault="0068553B" w:rsidP="00CC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4" w:rsidRDefault="00CC47C4" w:rsidP="00CC47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 </w:t>
      </w:r>
      <w:r w:rsidR="0068553B" w:rsidRPr="0068553B">
        <w:rPr>
          <w:rFonts w:ascii="Times New Roman" w:hAnsi="Times New Roman" w:cs="Times New Roman"/>
          <w:sz w:val="20"/>
          <w:szCs w:val="20"/>
        </w:rPr>
        <w:t>Зверева</w:t>
      </w:r>
    </w:p>
    <w:p w:rsidR="0068553B" w:rsidRDefault="0068553B" w:rsidP="00CC47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53B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12-60</w:t>
      </w:r>
    </w:p>
    <w:p w:rsidR="0068553B" w:rsidRDefault="0068553B" w:rsidP="006855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53B" w:rsidRDefault="0068553B" w:rsidP="006855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53B" w:rsidRDefault="0068553B" w:rsidP="006855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207" w:rsidRDefault="002A6207" w:rsidP="002A6207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2A6207" w:rsidRDefault="00C25389" w:rsidP="002A6207">
      <w:pPr>
        <w:pStyle w:val="a3"/>
        <w:spacing w:before="0" w:beforeAutospacing="0" w:after="0" w:afterAutospacing="0"/>
        <w:jc w:val="right"/>
      </w:pPr>
      <w:r>
        <w:t>к</w:t>
      </w:r>
      <w:r w:rsidR="002A6207">
        <w:t xml:space="preserve"> Постановлению Администрации Шегарского района</w:t>
      </w:r>
    </w:p>
    <w:p w:rsidR="002A6207" w:rsidRDefault="002A6207" w:rsidP="002A6207">
      <w:pPr>
        <w:pStyle w:val="a3"/>
        <w:spacing w:before="0" w:beforeAutospacing="0" w:after="0" w:afterAutospacing="0"/>
        <w:jc w:val="right"/>
      </w:pPr>
      <w:r>
        <w:t xml:space="preserve"> от </w:t>
      </w:r>
      <w:r w:rsidR="001F13D1">
        <w:t>30.12.</w:t>
      </w:r>
      <w:r>
        <w:t xml:space="preserve">2014г. № </w:t>
      </w:r>
      <w:r w:rsidR="001F13D1">
        <w:t>1512</w:t>
      </w:r>
    </w:p>
    <w:p w:rsidR="007A0481" w:rsidRPr="00E6325C" w:rsidRDefault="007A0481" w:rsidP="002A6207">
      <w:pPr>
        <w:pStyle w:val="a3"/>
        <w:spacing w:before="0" w:beforeAutospacing="0" w:after="0" w:afterAutospacing="0"/>
        <w:jc w:val="center"/>
      </w:pPr>
      <w:r w:rsidRPr="00E6325C"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0F3321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 xml:space="preserve">Муниципальная программа </w:t>
            </w:r>
            <w:r w:rsidR="000F3321">
              <w:t xml:space="preserve">Шегарского района </w:t>
            </w:r>
            <w:r>
              <w:t xml:space="preserve">«Доступная среда </w:t>
            </w:r>
            <w:r w:rsidR="00492AAA">
              <w:t xml:space="preserve">для инвалидов </w:t>
            </w:r>
            <w:r>
              <w:t xml:space="preserve">на </w:t>
            </w:r>
            <w:r w:rsidR="00492AAA">
              <w:t xml:space="preserve">период </w:t>
            </w:r>
            <w:r>
              <w:t>2015-2017 годы» (далее - Программа)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0F3321" w:rsidP="00765E6A">
            <w:pPr>
              <w:pStyle w:val="conspluscell"/>
              <w:spacing w:before="0" w:beforeAutospacing="0" w:after="0" w:afterAutospacing="0"/>
            </w:pPr>
            <w:r>
              <w:t xml:space="preserve">МКУ «Администрация Шегарского района»; </w:t>
            </w:r>
            <w:r w:rsidR="007A0481">
              <w:t>МКУ «Управление образования Администрации Шегарского района»; МАУК «Культурно-спортивный центр Шегарского района»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4C2C48">
            <w:pPr>
              <w:pStyle w:val="conspluscell"/>
              <w:spacing w:before="0" w:beforeAutospacing="0" w:after="0" w:afterAutospacing="0"/>
              <w:jc w:val="both"/>
            </w:pPr>
            <w:r w:rsidRPr="00E6325C">
              <w:t> </w:t>
            </w:r>
            <w:r>
              <w:t xml:space="preserve"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в Шегарском районе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Default="007A0481" w:rsidP="00B33E3E">
            <w:pPr>
              <w:pStyle w:val="conspluscell"/>
              <w:spacing w:before="0" w:beforeAutospacing="0" w:after="0" w:afterAutospacing="0"/>
              <w:jc w:val="both"/>
            </w:pPr>
            <w:r w:rsidRPr="00E6325C">
              <w:t> </w:t>
            </w:r>
            <w:r>
              <w:t xml:space="preserve">- </w:t>
            </w:r>
            <w:r w:rsidR="00055E95">
              <w:t>повышение уровня доступности</w:t>
            </w:r>
            <w:r w:rsidR="006C6E5F">
              <w:t>;</w:t>
            </w:r>
          </w:p>
          <w:p w:rsidR="007A0481" w:rsidRDefault="007A0481" w:rsidP="00B33E3E">
            <w:pPr>
              <w:pStyle w:val="conspluscell"/>
              <w:spacing w:before="0" w:beforeAutospacing="0" w:after="0" w:afterAutospacing="0"/>
              <w:jc w:val="both"/>
            </w:pPr>
            <w:r>
              <w:t xml:space="preserve">- </w:t>
            </w:r>
            <w:r w:rsidR="006C6E5F">
              <w:t>совершенствование нормативной правовой базы;</w:t>
            </w:r>
          </w:p>
          <w:p w:rsidR="006C6E5F" w:rsidRDefault="006C6E5F" w:rsidP="00B33E3E">
            <w:pPr>
              <w:pStyle w:val="conspluscell"/>
              <w:spacing w:before="0" w:beforeAutospacing="0" w:after="0" w:afterAutospacing="0"/>
              <w:jc w:val="both"/>
            </w:pPr>
            <w:r>
              <w:t>- предоставление услуг по культурной, спортивно-оздоровительной и социальной реабилитации;</w:t>
            </w:r>
          </w:p>
          <w:p w:rsidR="006C6E5F" w:rsidRPr="00E6325C" w:rsidRDefault="006C6E5F" w:rsidP="00B33E3E">
            <w:pPr>
              <w:pStyle w:val="conspluscell"/>
              <w:spacing w:before="0" w:beforeAutospacing="0" w:after="0" w:afterAutospacing="0"/>
              <w:jc w:val="both"/>
            </w:pPr>
            <w:r>
              <w:t>- формирование благоприятного общественного мнения к проблемам инвалидов</w:t>
            </w:r>
            <w:r w:rsidR="000F3321">
              <w:t>.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2015-2017 годы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7A0481" w:rsidRPr="00E6325C" w:rsidTr="00054041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481" w:rsidRPr="00E6325C" w:rsidRDefault="007A0481" w:rsidP="00B33E3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2015 год</w:t>
            </w: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C6E5F" w:rsidRDefault="007A0481" w:rsidP="00B33E3E">
            <w:pPr>
              <w:pStyle w:val="conspluscell"/>
              <w:spacing w:before="0" w:beforeAutospacing="0" w:after="0" w:afterAutospacing="0"/>
            </w:pPr>
            <w:r>
              <w:t>2016 год</w:t>
            </w:r>
            <w:r w:rsidRPr="00E6325C">
              <w:t> </w:t>
            </w:r>
          </w:p>
          <w:p w:rsidR="007A0481" w:rsidRPr="00E6325C" w:rsidRDefault="006C6E5F" w:rsidP="00B33E3E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Default="007A0481" w:rsidP="00B33E3E">
            <w:pPr>
              <w:pStyle w:val="conspluscell"/>
              <w:spacing w:before="0" w:beforeAutospacing="0" w:after="0" w:afterAutospacing="0"/>
            </w:pPr>
            <w:r>
              <w:t>2017 год</w:t>
            </w:r>
            <w:r w:rsidRPr="00E6325C">
              <w:t> </w:t>
            </w:r>
          </w:p>
          <w:p w:rsidR="006C6E5F" w:rsidRPr="00E6325C" w:rsidRDefault="006C6E5F" w:rsidP="00B33E3E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7A0481" w:rsidRPr="00E6325C" w:rsidTr="00054041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6C6E5F" w:rsidP="00B33E3E">
            <w:pPr>
              <w:pStyle w:val="conspluscell"/>
              <w:spacing w:before="0" w:beforeAutospacing="0" w:after="0" w:afterAutospacing="0"/>
            </w:pPr>
            <w:r>
              <w:t>120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6D3F64" w:rsidP="00B33E3E">
            <w:pPr>
              <w:pStyle w:val="conspluscell"/>
              <w:spacing w:before="0" w:beforeAutospacing="0" w:after="0" w:afterAutospacing="0"/>
            </w:pPr>
            <w:r>
              <w:t>480,0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6D3F64" w:rsidP="00B33E3E">
            <w:pPr>
              <w:pStyle w:val="conspluscell"/>
              <w:spacing w:before="0" w:beforeAutospacing="0" w:after="0" w:afterAutospacing="0"/>
            </w:pPr>
            <w:r>
              <w:t>7</w:t>
            </w:r>
            <w:r w:rsidR="00546EF8">
              <w:t>80,0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6C6E5F" w:rsidP="00B33E3E">
            <w:pPr>
              <w:pStyle w:val="conspluscell"/>
              <w:spacing w:before="0" w:beforeAutospacing="0" w:after="0" w:afterAutospacing="0"/>
            </w:pPr>
            <w:r>
              <w:t>120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6D3F64" w:rsidP="00B33E3E">
            <w:pPr>
              <w:pStyle w:val="conspluscell"/>
              <w:spacing w:before="0" w:beforeAutospacing="0" w:after="0" w:afterAutospacing="0"/>
            </w:pPr>
            <w:r>
              <w:t>480,0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6D3F64" w:rsidP="00B33E3E">
            <w:pPr>
              <w:pStyle w:val="conspluscell"/>
              <w:spacing w:before="0" w:beforeAutospacing="0" w:after="0" w:afterAutospacing="0"/>
            </w:pPr>
            <w:r>
              <w:t>7</w:t>
            </w:r>
            <w:r w:rsidR="00546EF8">
              <w:t>80,0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492AAA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492AAA">
              <w:t>-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7A0481" w:rsidRPr="00E6325C" w:rsidTr="00054041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492AAA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492AAA">
              <w:t>-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7A0481" w:rsidRPr="00E6325C" w:rsidTr="00054041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492AAA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492AAA">
              <w:t>-</w:t>
            </w:r>
          </w:p>
          <w:p w:rsidR="007A0481" w:rsidRPr="00E6325C" w:rsidRDefault="007A0481" w:rsidP="00B33E3E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7A0481" w:rsidRPr="00E6325C" w:rsidTr="00054041">
        <w:trPr>
          <w:trHeight w:val="1667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B33E3E" w:rsidRDefault="007A0481" w:rsidP="00B33E3E">
            <w:pPr>
              <w:pStyle w:val="conspluscell"/>
              <w:spacing w:before="0" w:beforeAutospacing="0" w:after="0" w:afterAutospacing="0"/>
            </w:pPr>
            <w:r w:rsidRPr="00B33E3E">
              <w:t>Планируемые результаты     </w:t>
            </w:r>
            <w:r w:rsidRPr="00B33E3E">
              <w:br/>
              <w:t>реализации муниципальной</w:t>
            </w:r>
            <w:r w:rsidRPr="00B33E3E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481" w:rsidRPr="00B33E3E" w:rsidRDefault="00B33E3E" w:rsidP="00601487">
            <w:pPr>
              <w:pStyle w:val="conspluscell"/>
              <w:numPr>
                <w:ilvl w:val="0"/>
                <w:numId w:val="3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 xml:space="preserve">Составление паспортов объектов </w:t>
            </w:r>
            <w:r w:rsidR="00765E6A">
              <w:t>социальной инфраструктуры</w:t>
            </w:r>
            <w:r w:rsidR="00492AAA">
              <w:t xml:space="preserve"> –</w:t>
            </w:r>
            <w:r w:rsidR="00601487">
              <w:t xml:space="preserve"> 7</w:t>
            </w:r>
            <w:r w:rsidR="00492AAA">
              <w:t>0%</w:t>
            </w:r>
            <w:r w:rsidRPr="00B33E3E">
              <w:t>;</w:t>
            </w:r>
          </w:p>
          <w:p w:rsidR="00B33E3E" w:rsidRDefault="00B33E3E" w:rsidP="00601487">
            <w:pPr>
              <w:pStyle w:val="conspluscell"/>
              <w:numPr>
                <w:ilvl w:val="0"/>
                <w:numId w:val="3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>Сокращение очередности на проведение ремонта жилых помещений</w:t>
            </w:r>
            <w:r w:rsidR="00492AAA">
              <w:t xml:space="preserve"> </w:t>
            </w:r>
            <w:r w:rsidR="00601487">
              <w:t>–</w:t>
            </w:r>
            <w:r w:rsidR="00492AAA">
              <w:t xml:space="preserve"> </w:t>
            </w:r>
            <w:r w:rsidR="00601487">
              <w:t>40%</w:t>
            </w:r>
            <w:r>
              <w:t>;</w:t>
            </w:r>
          </w:p>
          <w:p w:rsidR="00B33E3E" w:rsidRDefault="00601487" w:rsidP="00601487">
            <w:pPr>
              <w:pStyle w:val="conspluscell"/>
              <w:numPr>
                <w:ilvl w:val="0"/>
                <w:numId w:val="3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</w:t>
            </w:r>
            <w:r w:rsidR="00B33E3E">
              <w:t xml:space="preserve"> </w:t>
            </w:r>
            <w:r>
              <w:t xml:space="preserve">доступных для инвалидов </w:t>
            </w:r>
            <w:r w:rsidR="00B33E3E">
              <w:t>приоритетны</w:t>
            </w:r>
            <w:r>
              <w:t>х</w:t>
            </w:r>
            <w:r w:rsidR="00B33E3E">
              <w:t xml:space="preserve"> объект</w:t>
            </w:r>
            <w:r>
              <w:t>ов</w:t>
            </w:r>
            <w:r w:rsidR="00B33E3E">
              <w:t xml:space="preserve"> социальной инфраструктуры</w:t>
            </w:r>
            <w:r>
              <w:t xml:space="preserve"> – 45%</w:t>
            </w:r>
            <w:r w:rsidR="00B33E3E">
              <w:t>;</w:t>
            </w:r>
          </w:p>
          <w:p w:rsidR="00B33E3E" w:rsidRDefault="00601487" w:rsidP="00601487">
            <w:pPr>
              <w:pStyle w:val="conspluscell"/>
              <w:numPr>
                <w:ilvl w:val="0"/>
                <w:numId w:val="3"/>
              </w:numPr>
              <w:spacing w:before="0" w:beforeAutospacing="0" w:after="0" w:afterAutospacing="0"/>
              <w:ind w:left="161" w:firstLine="0"/>
              <w:jc w:val="both"/>
            </w:pPr>
            <w:r>
              <w:t xml:space="preserve">Доля инвалидов задействованных в </w:t>
            </w:r>
            <w:r w:rsidR="00B33E3E">
              <w:t>культурных</w:t>
            </w:r>
            <w:r>
              <w:t xml:space="preserve"> и</w:t>
            </w:r>
            <w:r w:rsidR="00B33E3E">
              <w:t xml:space="preserve"> спортивных мероприяти</w:t>
            </w:r>
            <w:r>
              <w:t>ях от общего числа инвалидов – 10%</w:t>
            </w:r>
            <w:r w:rsidR="00B33E3E">
              <w:t>;</w:t>
            </w:r>
          </w:p>
          <w:p w:rsidR="00B33E3E" w:rsidRPr="00B33E3E" w:rsidRDefault="00601487" w:rsidP="00601487">
            <w:pPr>
              <w:pStyle w:val="conspluscell"/>
              <w:numPr>
                <w:ilvl w:val="0"/>
                <w:numId w:val="3"/>
              </w:numPr>
              <w:spacing w:before="0" w:beforeAutospacing="0" w:after="0" w:afterAutospacing="0"/>
              <w:ind w:left="161" w:firstLine="0"/>
              <w:jc w:val="both"/>
            </w:pPr>
            <w: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>
              <w:t>численности</w:t>
            </w:r>
            <w:proofErr w:type="gramEnd"/>
            <w:r>
              <w:t xml:space="preserve"> опрошенных инвалидов – 50%.</w:t>
            </w:r>
          </w:p>
        </w:tc>
      </w:tr>
    </w:tbl>
    <w:p w:rsidR="002A6207" w:rsidRDefault="007A0481" w:rsidP="002A620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207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2A6207" w:rsidRPr="002A6207" w:rsidRDefault="002A6207" w:rsidP="002A6207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0F3321" w:rsidRPr="00546EF8" w:rsidRDefault="000F3321" w:rsidP="002A620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6EF8">
        <w:rPr>
          <w:rFonts w:ascii="Times New Roman" w:hAnsi="Times New Roman" w:cs="Times New Roman"/>
          <w:sz w:val="26"/>
          <w:szCs w:val="26"/>
        </w:rPr>
        <w:t>Согласно Конвенции ООН о проблемах инвалидов, Федер</w:t>
      </w:r>
      <w:r w:rsidR="00BB1BD4" w:rsidRPr="00546EF8">
        <w:rPr>
          <w:rFonts w:ascii="Times New Roman" w:hAnsi="Times New Roman" w:cs="Times New Roman"/>
          <w:sz w:val="26"/>
          <w:szCs w:val="26"/>
        </w:rPr>
        <w:t>ального закона от 24.11.1995г.</w:t>
      </w:r>
      <w:r w:rsidRPr="00546EF8">
        <w:rPr>
          <w:rFonts w:ascii="Times New Roman" w:hAnsi="Times New Roman" w:cs="Times New Roman"/>
          <w:sz w:val="26"/>
          <w:szCs w:val="26"/>
        </w:rPr>
        <w:t xml:space="preserve"> 181-ФЗ «О социальной защите инвалидов в Российской Федерации», на основании утвержденной государственной программой Томской области «Доступная среда на 2014-2016 годы», постановления Администрации Шегарского района от 28.07.2014г. №883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 разработана муниципальная программа Шегарского</w:t>
      </w:r>
      <w:proofErr w:type="gramEnd"/>
      <w:r w:rsidRPr="00546EF8">
        <w:rPr>
          <w:rFonts w:ascii="Times New Roman" w:hAnsi="Times New Roman" w:cs="Times New Roman"/>
          <w:sz w:val="26"/>
          <w:szCs w:val="26"/>
        </w:rPr>
        <w:t xml:space="preserve"> района «Доступная среда на 2015-2017 годы» (далее – Программа).</w:t>
      </w:r>
    </w:p>
    <w:p w:rsidR="000F3321" w:rsidRPr="00546EF8" w:rsidRDefault="000F3321" w:rsidP="00546EF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sz w:val="26"/>
          <w:szCs w:val="26"/>
        </w:rPr>
        <w:t xml:space="preserve">Программа направлена на обеспечение беспрепятственного доступа к приоритетным объектам социальной инфраструктуры и услугам в сферах жизнедеятельности инвалидов и других </w:t>
      </w:r>
      <w:proofErr w:type="spellStart"/>
      <w:r w:rsidRPr="00546EF8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46EF8">
        <w:rPr>
          <w:rFonts w:ascii="Times New Roman" w:hAnsi="Times New Roman" w:cs="Times New Roman"/>
          <w:sz w:val="26"/>
          <w:szCs w:val="26"/>
        </w:rPr>
        <w:t xml:space="preserve"> групп населения в Шегарском районе</w:t>
      </w:r>
      <w:r w:rsidR="00765E6A" w:rsidRPr="00546EF8">
        <w:rPr>
          <w:rFonts w:ascii="Times New Roman" w:hAnsi="Times New Roman" w:cs="Times New Roman"/>
          <w:sz w:val="26"/>
          <w:szCs w:val="26"/>
        </w:rPr>
        <w:t>, а также на улучшение бытовых условий инвалидов и других МГН</w:t>
      </w:r>
      <w:r w:rsidR="00515FCE">
        <w:rPr>
          <w:rFonts w:ascii="Times New Roman" w:hAnsi="Times New Roman" w:cs="Times New Roman"/>
          <w:sz w:val="26"/>
          <w:szCs w:val="26"/>
        </w:rPr>
        <w:t>.</w:t>
      </w:r>
    </w:p>
    <w:p w:rsidR="000F3321" w:rsidRPr="00546EF8" w:rsidRDefault="00842690" w:rsidP="0054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sz w:val="26"/>
          <w:szCs w:val="26"/>
        </w:rPr>
        <w:t xml:space="preserve">В Шегарском районе по состоянию на 01.01.2014г. численность инвалидов составляла1750 человек, что составляет </w:t>
      </w:r>
      <w:r w:rsidR="004C2C48" w:rsidRPr="00546EF8">
        <w:rPr>
          <w:rFonts w:ascii="Times New Roman" w:hAnsi="Times New Roman" w:cs="Times New Roman"/>
          <w:sz w:val="26"/>
          <w:szCs w:val="26"/>
        </w:rPr>
        <w:t>8,9</w:t>
      </w:r>
      <w:r w:rsidRPr="00546EF8">
        <w:rPr>
          <w:rFonts w:ascii="Times New Roman" w:hAnsi="Times New Roman" w:cs="Times New Roman"/>
          <w:sz w:val="26"/>
          <w:szCs w:val="26"/>
        </w:rPr>
        <w:t>% от общего количества населения района. Количество детей-инвалидов до 18 лет – 65 человек.</w:t>
      </w:r>
    </w:p>
    <w:p w:rsidR="00F9440E" w:rsidRPr="00546EF8" w:rsidRDefault="00BB1BD4" w:rsidP="0054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9440E" w:rsidRPr="00546EF8">
        <w:rPr>
          <w:rFonts w:ascii="Times New Roman" w:hAnsi="Times New Roman" w:cs="Times New Roman"/>
          <w:sz w:val="26"/>
          <w:szCs w:val="26"/>
        </w:rPr>
        <w:t xml:space="preserve">Согласно Указа Президента Российской Федерации от 07.05.2012г. №597 «О мероприятиях по реализации государственной политики», региональной программы дополнительных мероприятий, направленных на  снижение напряженности на рынке Труда </w:t>
      </w:r>
      <w:r w:rsidR="00765E6A" w:rsidRPr="00546EF8">
        <w:rPr>
          <w:rFonts w:ascii="Times New Roman" w:hAnsi="Times New Roman" w:cs="Times New Roman"/>
          <w:sz w:val="26"/>
          <w:szCs w:val="26"/>
        </w:rPr>
        <w:t>Т</w:t>
      </w:r>
      <w:r w:rsidR="00F9440E" w:rsidRPr="00546EF8">
        <w:rPr>
          <w:rFonts w:ascii="Times New Roman" w:hAnsi="Times New Roman" w:cs="Times New Roman"/>
          <w:sz w:val="26"/>
          <w:szCs w:val="26"/>
        </w:rPr>
        <w:t>омской области проводится поддержка занятости инвалидов трудоспособного возраста путем возмещения индивидуальным предпринимателям и организациям независимо от организационно-правовых форм затрат на приобретение, монтаж и установку оборудования для оснащения (дооснащения) вакантных рабочих мест.</w:t>
      </w:r>
      <w:proofErr w:type="gramEnd"/>
      <w:r w:rsidR="00F9440E" w:rsidRPr="00546EF8">
        <w:rPr>
          <w:rFonts w:ascii="Times New Roman" w:hAnsi="Times New Roman" w:cs="Times New Roman"/>
          <w:sz w:val="26"/>
          <w:szCs w:val="26"/>
        </w:rPr>
        <w:t xml:space="preserve"> Так </w:t>
      </w:r>
      <w:r w:rsidR="00F9440E" w:rsidRPr="00546EF8">
        <w:rPr>
          <w:rFonts w:ascii="Times New Roman" w:eastAsia="Times New Roman" w:hAnsi="Times New Roman" w:cs="Times New Roman"/>
          <w:sz w:val="26"/>
          <w:szCs w:val="26"/>
        </w:rPr>
        <w:t>в 2013 году было создано 3 рабочих места для трудоустройства инвалидов с возмещением затрат работодател</w:t>
      </w:r>
      <w:r w:rsidR="00765E6A" w:rsidRPr="00546EF8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F9440E" w:rsidRPr="00546EF8"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="00765E6A" w:rsidRPr="00546EF8">
        <w:rPr>
          <w:rFonts w:ascii="Times New Roman" w:eastAsia="Times New Roman" w:hAnsi="Times New Roman" w:cs="Times New Roman"/>
          <w:sz w:val="26"/>
          <w:szCs w:val="26"/>
        </w:rPr>
        <w:t>198,6</w:t>
      </w:r>
      <w:r w:rsidR="00F9440E" w:rsidRPr="00546EF8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proofErr w:type="gramStart"/>
      <w:r w:rsidR="00F9440E" w:rsidRPr="00546EF8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F9440E" w:rsidRPr="00546EF8">
        <w:rPr>
          <w:rFonts w:ascii="Times New Roman" w:eastAsia="Times New Roman" w:hAnsi="Times New Roman" w:cs="Times New Roman"/>
          <w:sz w:val="26"/>
          <w:szCs w:val="26"/>
        </w:rPr>
        <w:t>ублей</w:t>
      </w:r>
      <w:r w:rsidR="002A56C8" w:rsidRPr="00546EF8">
        <w:rPr>
          <w:rFonts w:ascii="Times New Roman" w:eastAsia="Times New Roman" w:hAnsi="Times New Roman" w:cs="Times New Roman"/>
          <w:sz w:val="26"/>
          <w:szCs w:val="26"/>
        </w:rPr>
        <w:t>, в 2014 году 2 рабочих места в размере 200 тыс. рублей.</w:t>
      </w:r>
    </w:p>
    <w:p w:rsidR="002A56C8" w:rsidRPr="00546EF8" w:rsidRDefault="002A56C8" w:rsidP="00546E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Ежегодно на </w:t>
      </w:r>
      <w:proofErr w:type="spellStart"/>
      <w:r w:rsidRPr="00546EF8">
        <w:rPr>
          <w:rFonts w:ascii="Times New Roman" w:eastAsia="Times New Roman" w:hAnsi="Times New Roman" w:cs="Times New Roman"/>
          <w:sz w:val="26"/>
          <w:szCs w:val="26"/>
        </w:rPr>
        <w:t>Шегарской</w:t>
      </w:r>
      <w:proofErr w:type="spellEnd"/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земле проводится фестиваль спортивных и творческих способностей для инвалидов и детей – инвалидов «Преодолей себя» и мероприятии, </w:t>
      </w:r>
      <w:proofErr w:type="gramStart"/>
      <w:r w:rsidRPr="00546EF8">
        <w:rPr>
          <w:rFonts w:ascii="Times New Roman" w:eastAsia="Times New Roman" w:hAnsi="Times New Roman" w:cs="Times New Roman"/>
          <w:sz w:val="26"/>
          <w:szCs w:val="26"/>
        </w:rPr>
        <w:t>приуроченные</w:t>
      </w:r>
      <w:proofErr w:type="gramEnd"/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Декаде инвалидов. Целью данных мероприятий является реабилитация инвалидов, демонстрация спортивных и творческих способностей. Таким образом, спорт и культура внедряется в повседневный быт инвалидов. В 2013 , 2014 годах соревнования проходили в новом спортивном комплексе «Олимп». В рамках фестиваля ежегодно отмечаются активисты Шегарского РОИ ВОИ за большой вклад в развитие ВОИ. Самые активные участники районного фестиваля в дальнейшем принимают участие в Областном фестивале «Преодолей себя».</w:t>
      </w:r>
    </w:p>
    <w:p w:rsidR="002B1B72" w:rsidRPr="00546EF8" w:rsidRDefault="002B1B72" w:rsidP="00546E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46EF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46EF8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546EF8">
        <w:rPr>
          <w:rFonts w:ascii="Times New Roman" w:eastAsia="Times New Roman" w:hAnsi="Times New Roman" w:cs="Times New Roman"/>
          <w:sz w:val="26"/>
          <w:szCs w:val="26"/>
        </w:rPr>
        <w:t>. Мельниково на базе досуго</w:t>
      </w:r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го центра «Огонек» </w:t>
      </w:r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 xml:space="preserve">работает группы здоровья, которое посещают 19 человек. Занятия проводятся один раз в неделю. </w:t>
      </w:r>
      <w:proofErr w:type="gramStart"/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 xml:space="preserve">Для занятий имеются тренажеры (велотренажер, беговая дорожка, доска для пресса, тренажер «гребля» </w:t>
      </w:r>
      <w:proofErr w:type="spellStart"/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>вибромассажор</w:t>
      </w:r>
      <w:proofErr w:type="spellEnd"/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>министепер</w:t>
      </w:r>
      <w:proofErr w:type="spellEnd"/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>, тренажер «лыжи») и спортивный инвентарь (теннисный стол, мячи, скакалки, обручи и др.).</w:t>
      </w:r>
      <w:proofErr w:type="gramEnd"/>
    </w:p>
    <w:p w:rsidR="00D6268A" w:rsidRPr="00546EF8" w:rsidRDefault="00D6268A" w:rsidP="00546E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района </w:t>
      </w:r>
      <w:r w:rsidR="00837924" w:rsidRPr="00546EF8">
        <w:rPr>
          <w:rFonts w:ascii="Times New Roman" w:eastAsia="Times New Roman" w:hAnsi="Times New Roman" w:cs="Times New Roman"/>
          <w:sz w:val="26"/>
          <w:szCs w:val="26"/>
        </w:rPr>
        <w:t>продолжается работа по обеспечению транспортной доступности</w:t>
      </w:r>
      <w:r w:rsidR="00722F90" w:rsidRPr="00546EF8">
        <w:rPr>
          <w:rFonts w:ascii="Times New Roman" w:eastAsia="Times New Roman" w:hAnsi="Times New Roman" w:cs="Times New Roman"/>
          <w:sz w:val="26"/>
          <w:szCs w:val="26"/>
        </w:rPr>
        <w:t xml:space="preserve"> инвалидов за счет развития услуг</w:t>
      </w:r>
      <w:r w:rsidR="00001434" w:rsidRPr="00546EF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22F90" w:rsidRPr="00546EF8">
        <w:rPr>
          <w:rFonts w:ascii="Times New Roman" w:eastAsia="Times New Roman" w:hAnsi="Times New Roman" w:cs="Times New Roman"/>
          <w:sz w:val="26"/>
          <w:szCs w:val="26"/>
        </w:rPr>
        <w:t xml:space="preserve"> социального такси.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В 2013 году услугой воспользовались 19 чел</w:t>
      </w:r>
      <w:r w:rsidR="00722F90" w:rsidRPr="00546EF8">
        <w:rPr>
          <w:rFonts w:ascii="Times New Roman" w:eastAsia="Times New Roman" w:hAnsi="Times New Roman" w:cs="Times New Roman"/>
          <w:sz w:val="26"/>
          <w:szCs w:val="26"/>
        </w:rPr>
        <w:t>овек, в 2014 году – 23 человека.</w:t>
      </w:r>
    </w:p>
    <w:p w:rsidR="00F9117E" w:rsidRPr="00546EF8" w:rsidRDefault="00F9117E" w:rsidP="00546E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sz w:val="26"/>
          <w:szCs w:val="26"/>
        </w:rPr>
        <w:t xml:space="preserve">По состоянию на 01.12.2014г.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>в образовательных организациях  Шегарского  района обучаются  32 ребенка-инвалида</w:t>
      </w:r>
      <w:r w:rsidRPr="00546EF8">
        <w:rPr>
          <w:rFonts w:ascii="Times New Roman" w:hAnsi="Times New Roman" w:cs="Times New Roman"/>
          <w:sz w:val="26"/>
          <w:szCs w:val="26"/>
        </w:rPr>
        <w:t xml:space="preserve"> (23 ребенка в школах и 9 детей в детских садах).  Они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>переведены на адаптированные программы в соответствии с особенностями их физического и психического развития.</w:t>
      </w:r>
    </w:p>
    <w:p w:rsidR="00F9117E" w:rsidRPr="00546EF8" w:rsidRDefault="00F9117E" w:rsidP="0054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sz w:val="26"/>
          <w:szCs w:val="26"/>
        </w:rPr>
        <w:t xml:space="preserve">Из 23 детей-школьников - 13 обучаются на дому.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Из 9 детей-инвалидов дошкольного возраста полностью  включены в инклюзивное образование только 5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lastRenderedPageBreak/>
        <w:t>детей в МБДОУ «Шегарский детский сад № 1 комбинированного вида», в других организациях, реализующих программы дошкольного образования, дети-инвалиды не получают в полном  объеме необходимые реабилитационные мероприятия из-за отсутствия узких специалистов (психологов, логопедов, дефектологов  и др.)</w:t>
      </w:r>
      <w:r w:rsidRPr="00546EF8">
        <w:rPr>
          <w:rFonts w:ascii="Times New Roman" w:hAnsi="Times New Roman" w:cs="Times New Roman"/>
          <w:sz w:val="26"/>
          <w:szCs w:val="26"/>
        </w:rPr>
        <w:t>.</w:t>
      </w:r>
    </w:p>
    <w:p w:rsidR="00F9117E" w:rsidRPr="00546EF8" w:rsidRDefault="00F9117E" w:rsidP="00546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sz w:val="26"/>
          <w:szCs w:val="26"/>
        </w:rPr>
        <w:t>На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базе МДОУ «Центр детского творчества" работает </w:t>
      </w:r>
      <w:r w:rsidRPr="00546EF8">
        <w:rPr>
          <w:rFonts w:ascii="Times New Roman" w:hAnsi="Times New Roman" w:cs="Times New Roman"/>
          <w:sz w:val="26"/>
          <w:szCs w:val="26"/>
        </w:rPr>
        <w:t xml:space="preserve">отделение творческой реабилитации для детей с ограниченными возможностями развития.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>Отделение посещают 40  детей, из них 19 детей  с. Мельниково.</w:t>
      </w:r>
    </w:p>
    <w:p w:rsidR="00F9117E" w:rsidRPr="00546EF8" w:rsidRDefault="00F9117E" w:rsidP="0054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В отделении 15 педагогов, из них 1ставка логопеда,</w:t>
      </w:r>
      <w:r w:rsidRPr="00546EF8">
        <w:rPr>
          <w:rFonts w:ascii="Times New Roman" w:hAnsi="Times New Roman" w:cs="Times New Roman"/>
          <w:sz w:val="26"/>
          <w:szCs w:val="26"/>
        </w:rPr>
        <w:t xml:space="preserve">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46EF8">
        <w:rPr>
          <w:rFonts w:ascii="Times New Roman" w:hAnsi="Times New Roman" w:cs="Times New Roman"/>
          <w:sz w:val="26"/>
          <w:szCs w:val="26"/>
        </w:rPr>
        <w:t xml:space="preserve">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ставка педагога-психолога, 0,5 ставки социального педагога, 0,5 ставки заведующего отделением, 6 педагогов - совместителей ЦДТ, 6 педагогов - совместителей в сёлах района. </w:t>
      </w:r>
    </w:p>
    <w:p w:rsidR="002013CF" w:rsidRPr="00546EF8" w:rsidRDefault="002013CF" w:rsidP="0054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ab/>
        <w:t xml:space="preserve">Кроме занятий по коррекционно-развивающим программам, проводятся </w:t>
      </w:r>
      <w:proofErr w:type="spellStart"/>
      <w:r w:rsidRPr="00546EF8">
        <w:rPr>
          <w:rFonts w:ascii="Times New Roman" w:eastAsia="Times New Roman" w:hAnsi="Times New Roman" w:cs="Times New Roman"/>
          <w:sz w:val="26"/>
          <w:szCs w:val="26"/>
        </w:rPr>
        <w:t>культурно-досуговые</w:t>
      </w:r>
      <w:proofErr w:type="spellEnd"/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FB8" w:rsidRPr="00546EF8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>, психолого-педагогическое сопровождение ребенка, работа с родителями.</w:t>
      </w:r>
    </w:p>
    <w:p w:rsidR="00587FBD" w:rsidRPr="00546EF8" w:rsidRDefault="00587FBD" w:rsidP="00546EF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6EF8">
        <w:rPr>
          <w:rFonts w:ascii="Times New Roman" w:hAnsi="Times New Roman" w:cs="Times New Roman"/>
          <w:sz w:val="26"/>
          <w:szCs w:val="26"/>
        </w:rPr>
        <w:t>Согласно Закона</w:t>
      </w:r>
      <w:proofErr w:type="gramEnd"/>
      <w:r w:rsidRPr="00546EF8">
        <w:rPr>
          <w:rFonts w:ascii="Times New Roman" w:hAnsi="Times New Roman" w:cs="Times New Roman"/>
          <w:sz w:val="26"/>
          <w:szCs w:val="26"/>
        </w:rPr>
        <w:t xml:space="preserve"> ФЗ-181 от 24.11.1995г. органы местного самоуправления и организации независимо от организационно-правовых форм должны создавать инвалидам условия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587FBD" w:rsidRPr="00546EF8" w:rsidRDefault="00587FBD" w:rsidP="00546EF8">
      <w:pPr>
        <w:pStyle w:val="1"/>
        <w:shd w:val="clear" w:color="auto" w:fill="auto"/>
        <w:spacing w:before="0" w:after="0" w:line="240" w:lineRule="auto"/>
        <w:ind w:left="20" w:right="300" w:firstLine="660"/>
        <w:jc w:val="both"/>
        <w:rPr>
          <w:rFonts w:ascii="Times New Roman" w:hAnsi="Times New Roman" w:cs="Times New Roman"/>
          <w:sz w:val="26"/>
          <w:szCs w:val="26"/>
          <w:shd w:val="clear" w:color="auto" w:fill="auto"/>
        </w:rPr>
      </w:pPr>
      <w:r w:rsidRPr="00546EF8">
        <w:rPr>
          <w:rFonts w:ascii="Times New Roman" w:hAnsi="Times New Roman" w:cs="Times New Roman"/>
          <w:sz w:val="26"/>
          <w:szCs w:val="26"/>
          <w:shd w:val="clear" w:color="auto" w:fill="auto"/>
        </w:rPr>
        <w:t>За период 2012-2014 годы в районе было о</w:t>
      </w:r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 xml:space="preserve">бследовано 20 социально значимых объектов. </w:t>
      </w:r>
      <w:proofErr w:type="gramStart"/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 xml:space="preserve">В результате, были оборудованы пандусами и поручнями 15 организаций </w:t>
      </w:r>
      <w:r w:rsidRPr="00546EF8">
        <w:rPr>
          <w:rFonts w:ascii="Times New Roman" w:hAnsi="Times New Roman" w:cs="Times New Roman"/>
          <w:sz w:val="26"/>
          <w:szCs w:val="26"/>
          <w:shd w:val="clear" w:color="auto" w:fill="auto"/>
        </w:rPr>
        <w:t>(среди них:</w:t>
      </w:r>
      <w:proofErr w:type="gramEnd"/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 xml:space="preserve"> </w:t>
      </w:r>
      <w:proofErr w:type="spellStart"/>
      <w:r w:rsidRPr="00546EF8">
        <w:rPr>
          <w:rFonts w:ascii="Times New Roman" w:hAnsi="Times New Roman" w:cs="Times New Roman"/>
          <w:sz w:val="26"/>
          <w:szCs w:val="26"/>
          <w:shd w:val="clear" w:color="auto" w:fill="auto"/>
        </w:rPr>
        <w:t>РЦКиД</w:t>
      </w:r>
      <w:proofErr w:type="spellEnd"/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 xml:space="preserve"> «Заря», гостиница «Обь», магазины «Россия», «Заря», «Владимир», «Ярче», «</w:t>
      </w:r>
      <w:proofErr w:type="spellStart"/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>Строймир</w:t>
      </w:r>
      <w:proofErr w:type="spellEnd"/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 xml:space="preserve">», </w:t>
      </w:r>
      <w:r w:rsidRPr="00546EF8">
        <w:rPr>
          <w:rFonts w:ascii="Times New Roman" w:hAnsi="Times New Roman" w:cs="Times New Roman"/>
          <w:sz w:val="26"/>
          <w:szCs w:val="26"/>
          <w:shd w:val="clear" w:color="auto" w:fill="auto"/>
        </w:rPr>
        <w:t>районная больница</w:t>
      </w:r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>, ООО «Бытовик», центральная аптека, ООО «Водоканал»</w:t>
      </w:r>
      <w:proofErr w:type="gramStart"/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>,О</w:t>
      </w:r>
      <w:proofErr w:type="gramEnd"/>
      <w:r w:rsidRPr="00546EF8">
        <w:rPr>
          <w:rFonts w:ascii="Times New Roman" w:eastAsia="Times New Roman" w:hAnsi="Times New Roman" w:cs="Times New Roman"/>
          <w:sz w:val="26"/>
          <w:szCs w:val="26"/>
          <w:shd w:val="clear" w:color="auto" w:fill="auto"/>
        </w:rPr>
        <w:t>ГКУ «Центр занятости населения Шегарского района», МБУК «Краеведческий музей Шегарского района», Пенсионный фонд).</w:t>
      </w:r>
    </w:p>
    <w:p w:rsidR="005E4045" w:rsidRPr="00546EF8" w:rsidRDefault="005E4045" w:rsidP="00546E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>Результаты выборочного мониторинга доступности объектов социальной инфраструктуры показали, что не все обследованные объекты оборудованы необходимыми приспособлениями, облегчающими доступ к ним инвалидов и других МНГ</w:t>
      </w:r>
      <w:r w:rsidR="00587FBD" w:rsidRPr="00546EF8">
        <w:rPr>
          <w:rFonts w:ascii="Times New Roman" w:eastAsia="Times New Roman" w:hAnsi="Times New Roman" w:cs="Times New Roman"/>
          <w:sz w:val="26"/>
          <w:szCs w:val="26"/>
        </w:rPr>
        <w:t>, - отсутствуют пандусы, перила, поручни, нет специализированных санузлов для инвалидов и др.</w:t>
      </w:r>
    </w:p>
    <w:p w:rsidR="00546EF8" w:rsidRDefault="00587FBD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>В этой связи, с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ab/>
      </w:r>
      <w:r w:rsidR="005E4045" w:rsidRPr="00546EF8">
        <w:rPr>
          <w:rFonts w:ascii="Times New Roman" w:eastAsia="Times New Roman" w:hAnsi="Times New Roman" w:cs="Times New Roman"/>
          <w:sz w:val="26"/>
          <w:szCs w:val="26"/>
        </w:rPr>
        <w:t xml:space="preserve"> конца 2013 года организована работа по паспортизации объектов социальной инфраструктуры (ОСИ), проектов решений по спорным вопросам </w:t>
      </w:r>
      <w:proofErr w:type="gramStart"/>
      <w:r w:rsidR="005E4045" w:rsidRPr="00546EF8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="005E4045" w:rsidRPr="00546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E4045" w:rsidRPr="00546EF8">
        <w:rPr>
          <w:rFonts w:ascii="Times New Roman" w:eastAsia="Times New Roman" w:hAnsi="Times New Roman" w:cs="Times New Roman"/>
          <w:sz w:val="26"/>
          <w:szCs w:val="26"/>
        </w:rPr>
        <w:t>оценка</w:t>
      </w:r>
      <w:proofErr w:type="gramEnd"/>
      <w:r w:rsidR="005E4045" w:rsidRPr="00546EF8">
        <w:rPr>
          <w:rFonts w:ascii="Times New Roman" w:eastAsia="Times New Roman" w:hAnsi="Times New Roman" w:cs="Times New Roman"/>
          <w:sz w:val="26"/>
          <w:szCs w:val="26"/>
        </w:rPr>
        <w:t xml:space="preserve"> состояния доступности объектов. Составлены анкеты по доступности ОСИ на 17 </w:t>
      </w:r>
      <w:proofErr w:type="gramStart"/>
      <w:r w:rsidR="005E4045" w:rsidRPr="00546EF8">
        <w:rPr>
          <w:rFonts w:ascii="Times New Roman" w:eastAsia="Times New Roman" w:hAnsi="Times New Roman" w:cs="Times New Roman"/>
          <w:sz w:val="26"/>
          <w:szCs w:val="26"/>
        </w:rPr>
        <w:t>медицинских</w:t>
      </w:r>
      <w:proofErr w:type="gramEnd"/>
      <w:r w:rsidR="005E4045" w:rsidRPr="00546EF8">
        <w:rPr>
          <w:rFonts w:ascii="Times New Roman" w:eastAsia="Times New Roman" w:hAnsi="Times New Roman" w:cs="Times New Roman"/>
          <w:sz w:val="26"/>
          <w:szCs w:val="26"/>
        </w:rPr>
        <w:t xml:space="preserve"> учреждения. Проведена оценка доступности для инвалидов и людей с ОВЗ спортивных объектов района.</w:t>
      </w: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207" w:rsidRPr="00546EF8" w:rsidRDefault="002A6207" w:rsidP="002A6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9"/>
        <w:gridCol w:w="1387"/>
        <w:gridCol w:w="1991"/>
        <w:gridCol w:w="2115"/>
        <w:gridCol w:w="1948"/>
      </w:tblGrid>
      <w:tr w:rsidR="005E4045" w:rsidRPr="00546EF8" w:rsidTr="00555758">
        <w:trPr>
          <w:trHeight w:val="368"/>
        </w:trPr>
        <w:tc>
          <w:tcPr>
            <w:tcW w:w="2130" w:type="dxa"/>
            <w:vMerge w:val="restart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</w:t>
            </w:r>
          </w:p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1" w:type="dxa"/>
            <w:gridSpan w:val="4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 состояния доступности с указанием количества объектов</w:t>
            </w:r>
          </w:p>
        </w:tc>
      </w:tr>
      <w:tr w:rsidR="005E4045" w:rsidRPr="00546EF8" w:rsidTr="00555758">
        <w:trPr>
          <w:trHeight w:val="3408"/>
        </w:trPr>
        <w:tc>
          <w:tcPr>
            <w:tcW w:w="2130" w:type="dxa"/>
            <w:vMerge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91" w:type="dxa"/>
            <w:tcBorders>
              <w:top w:val="nil"/>
            </w:tcBorders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Доступно полностью всем инвалидам (по зрению, слуху, использующих инвалидные кресла-коляски, с нарушением функций опорно-двигательного аппарата)</w:t>
            </w:r>
          </w:p>
        </w:tc>
        <w:tc>
          <w:tcPr>
            <w:tcW w:w="2115" w:type="dxa"/>
            <w:tcBorders>
              <w:top w:val="nil"/>
            </w:tcBorders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Доступно частично избирательно (доступно отдельным категориям инвалидов по зрению, слуху, использующих инвалидные кресла-коляски, с нарушением функций опорно-двигательного аппарата)</w:t>
            </w:r>
          </w:p>
        </w:tc>
        <w:tc>
          <w:tcPr>
            <w:tcW w:w="1948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Не доступно для посещения инвалидами (все категории инвалидов испытывают значительные затруднения при посещении объектов)</w:t>
            </w:r>
          </w:p>
        </w:tc>
      </w:tr>
      <w:tr w:rsidR="005E4045" w:rsidRPr="00546EF8" w:rsidTr="00555758">
        <w:trPr>
          <w:trHeight w:val="352"/>
        </w:trPr>
        <w:tc>
          <w:tcPr>
            <w:tcW w:w="2130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Лыжная база</w:t>
            </w:r>
          </w:p>
        </w:tc>
        <w:tc>
          <w:tcPr>
            <w:tcW w:w="1387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1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15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8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E4045" w:rsidRPr="00546EF8" w:rsidTr="00555758">
        <w:trPr>
          <w:trHeight w:val="352"/>
        </w:trPr>
        <w:tc>
          <w:tcPr>
            <w:tcW w:w="2130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Спортивный зал «Олимп»</w:t>
            </w:r>
          </w:p>
        </w:tc>
        <w:tc>
          <w:tcPr>
            <w:tcW w:w="1387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1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5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8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E4045" w:rsidRPr="00546EF8" w:rsidTr="00555758">
        <w:trPr>
          <w:trHeight w:val="336"/>
        </w:trPr>
        <w:tc>
          <w:tcPr>
            <w:tcW w:w="2130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</w:p>
        </w:tc>
        <w:tc>
          <w:tcPr>
            <w:tcW w:w="1387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1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5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8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E4045" w:rsidRPr="00546EF8" w:rsidTr="00555758">
        <w:trPr>
          <w:trHeight w:val="336"/>
        </w:trPr>
        <w:tc>
          <w:tcPr>
            <w:tcW w:w="2130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Теннисный корт</w:t>
            </w:r>
          </w:p>
        </w:tc>
        <w:tc>
          <w:tcPr>
            <w:tcW w:w="1387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1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15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8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E4045" w:rsidRPr="00546EF8" w:rsidTr="00555758">
        <w:trPr>
          <w:trHeight w:val="336"/>
        </w:trPr>
        <w:tc>
          <w:tcPr>
            <w:tcW w:w="2130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Стадион «Кедр»</w:t>
            </w:r>
          </w:p>
        </w:tc>
        <w:tc>
          <w:tcPr>
            <w:tcW w:w="1387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1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15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8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E4045" w:rsidRPr="00546EF8" w:rsidTr="00555758">
        <w:trPr>
          <w:trHeight w:val="336"/>
        </w:trPr>
        <w:tc>
          <w:tcPr>
            <w:tcW w:w="2130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87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1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5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8" w:type="dxa"/>
          </w:tcPr>
          <w:p w:rsidR="005E4045" w:rsidRPr="00546EF8" w:rsidRDefault="005E4045" w:rsidP="00546EF8">
            <w:pPr>
              <w:tabs>
                <w:tab w:val="left" w:pos="2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E4045" w:rsidRPr="00546EF8" w:rsidRDefault="005E4045" w:rsidP="0054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045" w:rsidRPr="00546EF8" w:rsidRDefault="005E4045" w:rsidP="00546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 можно сделать вывод о необходимости комплексного подхода к решению проблемы создания доступной среды жизнедеятельности для инвалидов и других МНГ и, как следствие, о потребности разработки Программы.</w:t>
      </w:r>
    </w:p>
    <w:p w:rsidR="00F9117E" w:rsidRPr="00546EF8" w:rsidRDefault="006332DC" w:rsidP="00546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6EF8">
        <w:rPr>
          <w:rFonts w:ascii="Times New Roman" w:hAnsi="Times New Roman" w:cs="Times New Roman"/>
          <w:sz w:val="26"/>
          <w:szCs w:val="26"/>
        </w:rPr>
        <w:t xml:space="preserve">Согласно постановления Администрации Шегарского района от 28.07.2014г. №883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 постановления Администрации Томской области от 21.07.2014г. №272а «О внесении изменений в Постановление Администрации Томской области от 24.12.2013г. №563а «Об утверждении государственной программы Томской области «Доступная среда на2014-2016 годы», мероприятия </w:t>
      </w:r>
      <w:r w:rsidRPr="00546EF8">
        <w:rPr>
          <w:rFonts w:ascii="Times New Roman" w:eastAsia="Times New Roman" w:hAnsi="Times New Roman" w:cs="Times New Roman"/>
          <w:sz w:val="26"/>
          <w:szCs w:val="26"/>
        </w:rPr>
        <w:t>долгосрочной целевой программы</w:t>
      </w:r>
      <w:proofErr w:type="gramEnd"/>
      <w:r w:rsidRPr="00546EF8">
        <w:rPr>
          <w:rFonts w:ascii="Times New Roman" w:eastAsia="Times New Roman" w:hAnsi="Times New Roman" w:cs="Times New Roman"/>
          <w:sz w:val="26"/>
          <w:szCs w:val="26"/>
        </w:rPr>
        <w:t xml:space="preserve"> «Доступная среда для инвалидов Шегарского района на 2011-2015 годы», утвержденной Постановлением администрации Шегарского района от 16.12.2010г. №1236 (редакция Постановления 19.12.2012г. №206) перестали действовать.</w:t>
      </w:r>
    </w:p>
    <w:p w:rsidR="00AD1A30" w:rsidRPr="00546EF8" w:rsidRDefault="00AD1A30" w:rsidP="00546E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0481" w:rsidRPr="002A6207" w:rsidRDefault="007A0481" w:rsidP="002A620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207">
        <w:rPr>
          <w:rFonts w:ascii="Times New Roman" w:hAnsi="Times New Roman" w:cs="Times New Roman"/>
          <w:b/>
          <w:sz w:val="26"/>
          <w:szCs w:val="26"/>
        </w:rPr>
        <w:t>Цели и задачи Программы</w:t>
      </w:r>
    </w:p>
    <w:p w:rsidR="002A6207" w:rsidRPr="002A6207" w:rsidRDefault="002A6207" w:rsidP="002A6207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7A0481" w:rsidRPr="00546EF8" w:rsidRDefault="00001434" w:rsidP="0054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sz w:val="26"/>
          <w:szCs w:val="26"/>
        </w:rPr>
        <w:t>Целью Программы является обеспечение беспрепятственного доступа к приоритетным объектам и услугам в сфере жизнедеятельности инвалидов и других МГН</w:t>
      </w:r>
    </w:p>
    <w:p w:rsidR="007A0481" w:rsidRPr="00546EF8" w:rsidRDefault="007A0481" w:rsidP="0054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EF8">
        <w:rPr>
          <w:rFonts w:ascii="Times New Roman" w:hAnsi="Times New Roman" w:cs="Times New Roman"/>
          <w:b/>
          <w:sz w:val="26"/>
          <w:szCs w:val="26"/>
        </w:rPr>
        <w:t>Задачами</w:t>
      </w:r>
      <w:r w:rsidRPr="00546EF8">
        <w:rPr>
          <w:rFonts w:ascii="Times New Roman" w:hAnsi="Times New Roman" w:cs="Times New Roman"/>
          <w:sz w:val="26"/>
          <w:szCs w:val="26"/>
        </w:rPr>
        <w:t xml:space="preserve"> Программы являются:</w:t>
      </w:r>
    </w:p>
    <w:p w:rsidR="007A0481" w:rsidRPr="00546EF8" w:rsidRDefault="00001434" w:rsidP="00546EF8">
      <w:pPr>
        <w:pStyle w:val="conspluscell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546EF8">
        <w:rPr>
          <w:sz w:val="26"/>
          <w:szCs w:val="26"/>
        </w:rPr>
        <w:t>Совершенствование нормативной правовой и организационной основы формирования доступной среды жизнедеятельности инвалидов и МГН, в частности паспортизации объектов социальной инфраструктуры;</w:t>
      </w:r>
    </w:p>
    <w:p w:rsidR="007A0481" w:rsidRPr="00546EF8" w:rsidRDefault="00001434" w:rsidP="00546EF8">
      <w:pPr>
        <w:pStyle w:val="conspluscell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546EF8">
        <w:rPr>
          <w:sz w:val="26"/>
          <w:szCs w:val="26"/>
        </w:rPr>
        <w:lastRenderedPageBreak/>
        <w:t>Повышение уровня доступности приоритетных объектов социальной инфраструктуры, а также улучшение бытовых условий инвалидов путем проведения ремонтов жилых помещений;</w:t>
      </w:r>
    </w:p>
    <w:p w:rsidR="00492AAA" w:rsidRPr="00546EF8" w:rsidRDefault="00492AAA" w:rsidP="00546EF8">
      <w:pPr>
        <w:pStyle w:val="conspluscell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546EF8">
        <w:rPr>
          <w:sz w:val="26"/>
          <w:szCs w:val="26"/>
        </w:rPr>
        <w:t>предоставление услуг по культурной, спортивно-оздоровительной и социальной реабилитации;</w:t>
      </w:r>
    </w:p>
    <w:p w:rsidR="007A0481" w:rsidRPr="00546EF8" w:rsidRDefault="00492AAA" w:rsidP="00546EF8">
      <w:pPr>
        <w:pStyle w:val="conspluscell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6"/>
          <w:szCs w:val="26"/>
        </w:rPr>
        <w:sectPr w:rsidR="007A0481" w:rsidRPr="00546EF8" w:rsidSect="00CC47C4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546EF8">
        <w:rPr>
          <w:sz w:val="26"/>
          <w:szCs w:val="26"/>
        </w:rPr>
        <w:t>Формирование благоприятного общественного мнения к проблемам инвалидов.</w:t>
      </w:r>
    </w:p>
    <w:p w:rsidR="007A0481" w:rsidRPr="00546EF8" w:rsidRDefault="007A0481" w:rsidP="007A04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6EF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ПЕРЕЧЕНЬ ПРОГРАММНЫХ МЕРОПРИЯТИЙ МУНИЦИПАЛЬНОЙ ПРОГРАММЫ </w:t>
      </w:r>
    </w:p>
    <w:p w:rsidR="007A0481" w:rsidRPr="00546EF8" w:rsidRDefault="007A0481" w:rsidP="00515F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46EF8">
        <w:rPr>
          <w:rFonts w:ascii="Times New Roman" w:eastAsia="Times New Roman" w:hAnsi="Times New Roman" w:cs="Times New Roman"/>
          <w:sz w:val="26"/>
          <w:szCs w:val="26"/>
          <w:u w:val="single"/>
        </w:rPr>
        <w:t>"</w:t>
      </w:r>
      <w:r w:rsidR="008132B6" w:rsidRPr="00546EF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Доступная среда </w:t>
      </w:r>
      <w:r w:rsidR="00492AAA" w:rsidRPr="00546EF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для инвалидов </w:t>
      </w:r>
      <w:r w:rsidRPr="00546EF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492AAA" w:rsidRPr="00546EF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период </w:t>
      </w:r>
      <w:r w:rsidRPr="00546EF8">
        <w:rPr>
          <w:rFonts w:ascii="Times New Roman" w:eastAsia="Times New Roman" w:hAnsi="Times New Roman" w:cs="Times New Roman"/>
          <w:sz w:val="26"/>
          <w:szCs w:val="26"/>
          <w:u w:val="single"/>
        </w:rPr>
        <w:t>2015-2017 годы"</w:t>
      </w:r>
    </w:p>
    <w:tbl>
      <w:tblPr>
        <w:tblW w:w="1504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600"/>
        <w:gridCol w:w="665"/>
        <w:gridCol w:w="837"/>
        <w:gridCol w:w="992"/>
        <w:gridCol w:w="1701"/>
        <w:gridCol w:w="2126"/>
        <w:gridCol w:w="3134"/>
      </w:tblGrid>
      <w:tr w:rsidR="007A0481" w:rsidRPr="006D3F64" w:rsidTr="006D3F64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D3F64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7A0481" w:rsidRPr="006D3F64" w:rsidTr="006D3F64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481" w:rsidRPr="006D3F64" w:rsidTr="006D3F64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6D3F64" w:rsidP="006D3F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gram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A0481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A0481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0481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481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8132B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 на формирование нормативной правовой базы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481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8132B6" w:rsidP="008132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1F7406" w:rsidP="006014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К 201</w:t>
            </w:r>
            <w:r w:rsidR="00601487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составление паспортов объектов социальной инфраструктуры – </w:t>
            </w:r>
            <w:r w:rsidR="00601487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0481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8132B6" w:rsidP="007A01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повышение уровня доступности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406" w:rsidRPr="006D3F64" w:rsidTr="006D3F64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жилых помещений инвалидов. Улучшение бытовых условий инвалидов, в т.ч. ремонт и устройство электрических, водопроводных, тепловых и канализационных сетей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01487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01487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601487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очередности на проведение ремонта жилых помещений</w:t>
            </w:r>
            <w:r w:rsidR="00601487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40%</w:t>
            </w:r>
          </w:p>
        </w:tc>
      </w:tr>
      <w:tr w:rsidR="001F7406" w:rsidRPr="006D3F64" w:rsidTr="006D3F64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01487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  <w:r w:rsidR="006D3F64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406" w:rsidRPr="006D3F64" w:rsidTr="006D3F64">
        <w:trPr>
          <w:trHeight w:val="9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1487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01487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  <w:r w:rsidR="006D3F64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9D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приоритетных объектов социальной 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  (приобретение и обустройство пандусов, оборудование помещений поручнями, оборудование санитарно-гигиенических комнат), в т.ч.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«Администрация 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Шегарского района»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136" w:rsidRPr="006D3F64" w:rsidTr="006D3F64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«КСЦ Шегарского района»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546E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учреждений культуры, оборудованных с учетом доступности для инвалидов - </w:t>
            </w:r>
            <w:r w:rsidR="00546EF8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136" w:rsidRPr="006D3F64" w:rsidTr="006D3F64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546E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6EF8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546E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6EF8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  <w:r w:rsidR="006D3F64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136" w:rsidRPr="006D3F64" w:rsidTr="006D3F64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546EF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136" w:rsidRPr="006D3F64" w:rsidTr="006D3F64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5E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B33E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Шегарского района»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6014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 образования с учетом доступности для инвалидов - 4</w:t>
            </w:r>
          </w:p>
        </w:tc>
      </w:tr>
      <w:tr w:rsidR="00785136" w:rsidRPr="006D3F64" w:rsidTr="006D3F64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5E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B33E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  <w:r w:rsidR="006D3F64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36" w:rsidRPr="006D3F64" w:rsidRDefault="00785136" w:rsidP="006014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136" w:rsidRPr="006D3F64" w:rsidTr="006D3F64">
        <w:trPr>
          <w:trHeight w:val="54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5E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B33E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  <w:r w:rsidR="006D3F64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36" w:rsidRPr="006D3F64" w:rsidRDefault="00785136" w:rsidP="006014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481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8132B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0481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8132B6" w:rsidP="007A01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A019D" w:rsidRPr="006D3F64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406" w:rsidRPr="006D3F64" w:rsidTr="006D3F64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06" w:rsidRPr="006D3F64" w:rsidRDefault="0031764E" w:rsidP="00317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фестиваля «Преодолей себя», Декады инвалидов</w:t>
            </w:r>
          </w:p>
        </w:tc>
      </w:tr>
      <w:tr w:rsidR="001F7406" w:rsidRPr="006D3F64" w:rsidTr="006D3F64">
        <w:trPr>
          <w:trHeight w:val="4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406" w:rsidRPr="006D3F64" w:rsidTr="006D3F64">
        <w:trPr>
          <w:trHeight w:val="36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9D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1F74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информационных, </w:t>
            </w:r>
            <w:r w:rsidR="001F7406"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D" w:rsidRPr="006D3F64" w:rsidRDefault="007A019D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406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1F74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банка данных об 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«Администрация Шегарского района», ОГБУ «ЦСПН Шегарского района»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31764E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необходимости, не </w:t>
            </w: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менее 1 раза в год</w:t>
            </w:r>
          </w:p>
        </w:tc>
      </w:tr>
      <w:tr w:rsidR="001F7406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1F74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круглых столов по проблемам инвалидов и инвалидности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3B5A0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не менее 1 раза в полугодие</w:t>
            </w:r>
          </w:p>
        </w:tc>
      </w:tr>
      <w:tr w:rsidR="001F7406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1F7406" w:rsidP="001F74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благоприятного общественного мнения в отношении инвалидов через СМИ, информационное освещение проблем инвалидов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785136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«Администрация Шегарского района», редакция газеты «</w:t>
            </w:r>
            <w:proofErr w:type="spell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Шегаркий</w:t>
            </w:r>
            <w:proofErr w:type="spellEnd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6" w:rsidRPr="006D3F64" w:rsidRDefault="003B5A08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не менее 7 статей</w:t>
            </w:r>
            <w:r w:rsidR="00515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7A0481" w:rsidRPr="006D3F64" w:rsidTr="006D3F6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6D3F64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1" w:rsidRPr="006D3F64" w:rsidRDefault="007A0481" w:rsidP="000540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F6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7A0481" w:rsidRPr="006D3F64" w:rsidRDefault="007A0481" w:rsidP="007A0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481" w:rsidRPr="006D3F64" w:rsidRDefault="007A0481" w:rsidP="007A0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481" w:rsidRPr="00546EF8" w:rsidRDefault="007A0481" w:rsidP="007A0481">
      <w:pPr>
        <w:pStyle w:val="Style1"/>
        <w:widowControl/>
        <w:tabs>
          <w:tab w:val="left" w:pos="7435"/>
        </w:tabs>
        <w:rPr>
          <w:rStyle w:val="FontStyle11"/>
        </w:rPr>
      </w:pPr>
    </w:p>
    <w:p w:rsidR="007A0481" w:rsidRPr="00546EF8" w:rsidRDefault="007A0481" w:rsidP="007A0481">
      <w:pPr>
        <w:pStyle w:val="Style1"/>
        <w:widowControl/>
        <w:tabs>
          <w:tab w:val="left" w:pos="7435"/>
        </w:tabs>
        <w:ind w:left="2410"/>
        <w:jc w:val="right"/>
        <w:rPr>
          <w:sz w:val="26"/>
          <w:szCs w:val="26"/>
        </w:rPr>
        <w:sectPr w:rsidR="007A0481" w:rsidRPr="00546EF8" w:rsidSect="00AC567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A0481" w:rsidRPr="00546EF8" w:rsidRDefault="007A0481" w:rsidP="007A0481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546EF8">
        <w:rPr>
          <w:sz w:val="26"/>
          <w:szCs w:val="26"/>
        </w:rPr>
        <w:lastRenderedPageBreak/>
        <w:t xml:space="preserve">      4.  ПЛАНИРУЕМЫЕ  РЕЗУЛЬТАТЫ РЕАЛИЗАЦИИ МУНИЦИПАЛЬНОЙ ПРОГРАММЫ </w:t>
      </w:r>
    </w:p>
    <w:p w:rsidR="007A0481" w:rsidRPr="00515FCE" w:rsidRDefault="00CE2722" w:rsidP="00515F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46EF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"Доступная среда для инвалидов на период </w:t>
      </w:r>
      <w:r w:rsidR="00515FCE">
        <w:rPr>
          <w:rFonts w:ascii="Times New Roman" w:eastAsia="Times New Roman" w:hAnsi="Times New Roman" w:cs="Times New Roman"/>
          <w:sz w:val="26"/>
          <w:szCs w:val="26"/>
          <w:u w:val="single"/>
        </w:rPr>
        <w:t>2015-2017 годы</w:t>
      </w:r>
    </w:p>
    <w:tbl>
      <w:tblPr>
        <w:tblStyle w:val="a6"/>
        <w:tblW w:w="14842" w:type="dxa"/>
        <w:tblLook w:val="0000"/>
      </w:tblPr>
      <w:tblGrid>
        <w:gridCol w:w="567"/>
        <w:gridCol w:w="2102"/>
        <w:gridCol w:w="5094"/>
        <w:gridCol w:w="1682"/>
        <w:gridCol w:w="1621"/>
        <w:gridCol w:w="1568"/>
        <w:gridCol w:w="736"/>
        <w:gridCol w:w="736"/>
        <w:gridCol w:w="736"/>
      </w:tblGrid>
      <w:tr w:rsidR="007A0481" w:rsidRPr="00546EF8" w:rsidTr="00515FCE">
        <w:trPr>
          <w:trHeight w:val="900"/>
        </w:trPr>
        <w:tc>
          <w:tcPr>
            <w:tcW w:w="567" w:type="dxa"/>
            <w:vMerge w:val="restart"/>
          </w:tcPr>
          <w:p w:rsidR="007A0481" w:rsidRPr="00546EF8" w:rsidRDefault="007A0481" w:rsidP="00054041">
            <w:pPr>
              <w:pStyle w:val="conspluscell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 N </w:t>
            </w:r>
            <w:r w:rsidRPr="00546EF8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546EF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46EF8">
              <w:rPr>
                <w:sz w:val="26"/>
                <w:szCs w:val="26"/>
              </w:rPr>
              <w:t>/</w:t>
            </w:r>
            <w:proofErr w:type="spellStart"/>
            <w:r w:rsidRPr="00546EF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02" w:type="dxa"/>
            <w:vMerge w:val="restart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Задачи,     </w:t>
            </w:r>
            <w:r w:rsidRPr="00546EF8">
              <w:rPr>
                <w:sz w:val="26"/>
                <w:szCs w:val="26"/>
              </w:rPr>
              <w:br/>
              <w:t>направленные</w:t>
            </w:r>
            <w:r w:rsidRPr="00546EF8">
              <w:rPr>
                <w:sz w:val="26"/>
                <w:szCs w:val="26"/>
              </w:rPr>
              <w:br/>
              <w:t>на достижение</w:t>
            </w:r>
            <w:r w:rsidRPr="00546EF8">
              <w:rPr>
                <w:sz w:val="26"/>
                <w:szCs w:val="26"/>
              </w:rPr>
              <w:br/>
              <w:t>цели</w:t>
            </w:r>
          </w:p>
        </w:tc>
        <w:tc>
          <w:tcPr>
            <w:tcW w:w="5094" w:type="dxa"/>
            <w:vMerge w:val="restart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Количественные  и/или качественные  </w:t>
            </w:r>
            <w:r w:rsidRPr="00546EF8">
              <w:rPr>
                <w:sz w:val="26"/>
                <w:szCs w:val="26"/>
              </w:rPr>
              <w:br/>
              <w:t>целевые показатели, характеризующие</w:t>
            </w:r>
            <w:r w:rsidRPr="00546EF8">
              <w:rPr>
                <w:sz w:val="26"/>
                <w:szCs w:val="26"/>
              </w:rPr>
              <w:br/>
              <w:t>достижение   целей и решение</w:t>
            </w:r>
            <w:r w:rsidRPr="00546EF8">
              <w:rPr>
                <w:sz w:val="26"/>
                <w:szCs w:val="26"/>
              </w:rPr>
              <w:br/>
              <w:t>задач</w:t>
            </w:r>
          </w:p>
        </w:tc>
        <w:tc>
          <w:tcPr>
            <w:tcW w:w="1682" w:type="dxa"/>
            <w:vMerge w:val="restart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Единица </w:t>
            </w:r>
            <w:r w:rsidRPr="00546EF8">
              <w:rPr>
                <w:sz w:val="26"/>
                <w:szCs w:val="26"/>
              </w:rPr>
              <w:br/>
              <w:t>измерения</w:t>
            </w:r>
          </w:p>
        </w:tc>
        <w:tc>
          <w:tcPr>
            <w:tcW w:w="1621" w:type="dxa"/>
            <w:vMerge w:val="restart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Источник  информации для расчёта</w:t>
            </w:r>
          </w:p>
        </w:tc>
        <w:tc>
          <w:tcPr>
            <w:tcW w:w="1568" w:type="dxa"/>
            <w:vMerge w:val="restart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Базовое     </w:t>
            </w:r>
            <w:r w:rsidRPr="00546EF8">
              <w:rPr>
                <w:sz w:val="26"/>
                <w:szCs w:val="26"/>
              </w:rPr>
              <w:br/>
              <w:t>значение     </w:t>
            </w:r>
            <w:r w:rsidRPr="00546EF8">
              <w:rPr>
                <w:sz w:val="26"/>
                <w:szCs w:val="26"/>
              </w:rPr>
              <w:br/>
              <w:t>показателя  </w:t>
            </w:r>
            <w:r w:rsidRPr="00546EF8">
              <w:rPr>
                <w:sz w:val="26"/>
                <w:szCs w:val="26"/>
              </w:rPr>
              <w:br/>
              <w:t>(на начало  </w:t>
            </w:r>
            <w:r w:rsidRPr="00546EF8">
              <w:rPr>
                <w:sz w:val="26"/>
                <w:szCs w:val="26"/>
              </w:rPr>
              <w:br/>
              <w:t>реализации)</w:t>
            </w:r>
          </w:p>
        </w:tc>
        <w:tc>
          <w:tcPr>
            <w:tcW w:w="2208" w:type="dxa"/>
            <w:gridSpan w:val="3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Планируемое значение показателя по годам реализации</w:t>
            </w:r>
          </w:p>
        </w:tc>
      </w:tr>
      <w:tr w:rsidR="009B087B" w:rsidRPr="00546EF8" w:rsidTr="00515FCE">
        <w:trPr>
          <w:trHeight w:val="720"/>
        </w:trPr>
        <w:tc>
          <w:tcPr>
            <w:tcW w:w="567" w:type="dxa"/>
            <w:vMerge/>
          </w:tcPr>
          <w:p w:rsidR="007A0481" w:rsidRPr="00546EF8" w:rsidRDefault="007A0481" w:rsidP="000540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/>
          </w:tcPr>
          <w:p w:rsidR="007A0481" w:rsidRPr="00546EF8" w:rsidRDefault="007A0481" w:rsidP="000540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4" w:type="dxa"/>
            <w:vMerge/>
          </w:tcPr>
          <w:p w:rsidR="007A0481" w:rsidRPr="00546EF8" w:rsidRDefault="007A0481" w:rsidP="0005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A0481" w:rsidRPr="00546EF8" w:rsidRDefault="007A0481" w:rsidP="0005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A0481" w:rsidRPr="00546EF8" w:rsidRDefault="007A0481" w:rsidP="0005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A0481" w:rsidRPr="00546EF8" w:rsidRDefault="007A0481" w:rsidP="0005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2015 год</w:t>
            </w:r>
          </w:p>
        </w:tc>
        <w:tc>
          <w:tcPr>
            <w:tcW w:w="736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2016 год</w:t>
            </w:r>
          </w:p>
        </w:tc>
        <w:tc>
          <w:tcPr>
            <w:tcW w:w="736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2017 год</w:t>
            </w:r>
          </w:p>
        </w:tc>
      </w:tr>
      <w:tr w:rsidR="009B087B" w:rsidRPr="00546EF8" w:rsidTr="00515FCE">
        <w:tc>
          <w:tcPr>
            <w:tcW w:w="567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1</w:t>
            </w:r>
          </w:p>
        </w:tc>
        <w:tc>
          <w:tcPr>
            <w:tcW w:w="2102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2</w:t>
            </w:r>
          </w:p>
        </w:tc>
        <w:tc>
          <w:tcPr>
            <w:tcW w:w="5094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3</w:t>
            </w:r>
          </w:p>
        </w:tc>
        <w:tc>
          <w:tcPr>
            <w:tcW w:w="1682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4</w:t>
            </w:r>
          </w:p>
        </w:tc>
        <w:tc>
          <w:tcPr>
            <w:tcW w:w="1621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5</w:t>
            </w:r>
          </w:p>
        </w:tc>
        <w:tc>
          <w:tcPr>
            <w:tcW w:w="1568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6</w:t>
            </w:r>
          </w:p>
        </w:tc>
        <w:tc>
          <w:tcPr>
            <w:tcW w:w="736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7</w:t>
            </w:r>
          </w:p>
        </w:tc>
        <w:tc>
          <w:tcPr>
            <w:tcW w:w="736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8</w:t>
            </w:r>
          </w:p>
        </w:tc>
        <w:tc>
          <w:tcPr>
            <w:tcW w:w="736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9</w:t>
            </w:r>
          </w:p>
        </w:tc>
      </w:tr>
      <w:tr w:rsidR="009B087B" w:rsidRPr="00546EF8" w:rsidTr="00515FCE">
        <w:trPr>
          <w:trHeight w:val="360"/>
        </w:trPr>
        <w:tc>
          <w:tcPr>
            <w:tcW w:w="567" w:type="dxa"/>
          </w:tcPr>
          <w:p w:rsidR="007A0481" w:rsidRPr="00546EF8" w:rsidRDefault="007A0481" w:rsidP="00054041">
            <w:pPr>
              <w:pStyle w:val="conspluscell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1.</w:t>
            </w:r>
          </w:p>
        </w:tc>
        <w:tc>
          <w:tcPr>
            <w:tcW w:w="2102" w:type="dxa"/>
          </w:tcPr>
          <w:p w:rsidR="007A0481" w:rsidRPr="00546EF8" w:rsidRDefault="006D3F64" w:rsidP="00054041">
            <w:pPr>
              <w:pStyle w:val="conspluscell"/>
              <w:rPr>
                <w:sz w:val="26"/>
                <w:szCs w:val="26"/>
              </w:rPr>
            </w:pPr>
            <w:r w:rsidRPr="006D3F64">
              <w:t>Мероприятия, направленные  на формирование нормативной правовой базы</w:t>
            </w:r>
          </w:p>
        </w:tc>
        <w:tc>
          <w:tcPr>
            <w:tcW w:w="5094" w:type="dxa"/>
          </w:tcPr>
          <w:p w:rsidR="007A0481" w:rsidRPr="00546EF8" w:rsidRDefault="006D3F64" w:rsidP="00054041">
            <w:pPr>
              <w:pStyle w:val="conspluscell"/>
              <w:rPr>
                <w:sz w:val="26"/>
                <w:szCs w:val="26"/>
              </w:rPr>
            </w:pPr>
            <w:r w:rsidRPr="006D3F64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6D3F64">
              <w:t>маломобильных</w:t>
            </w:r>
            <w:proofErr w:type="spellEnd"/>
            <w:r w:rsidRPr="006D3F64">
              <w:t xml:space="preserve"> групп населения</w:t>
            </w:r>
          </w:p>
        </w:tc>
        <w:tc>
          <w:tcPr>
            <w:tcW w:w="1682" w:type="dxa"/>
          </w:tcPr>
          <w:p w:rsidR="007A0481" w:rsidRPr="00546EF8" w:rsidRDefault="009B087B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="006D3F64">
              <w:rPr>
                <w:sz w:val="26"/>
                <w:szCs w:val="26"/>
              </w:rPr>
              <w:t xml:space="preserve"> объектов</w:t>
            </w:r>
            <w:r>
              <w:rPr>
                <w:sz w:val="26"/>
                <w:szCs w:val="26"/>
              </w:rPr>
              <w:t>, на которые составлены паспорта</w:t>
            </w:r>
          </w:p>
        </w:tc>
        <w:tc>
          <w:tcPr>
            <w:tcW w:w="1621" w:type="dxa"/>
          </w:tcPr>
          <w:p w:rsidR="007A0481" w:rsidRPr="00546EF8" w:rsidRDefault="007A0481" w:rsidP="0005404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7A0481" w:rsidRPr="00546EF8" w:rsidRDefault="009B087B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736" w:type="dxa"/>
          </w:tcPr>
          <w:p w:rsidR="007A0481" w:rsidRPr="00546EF8" w:rsidRDefault="009B087B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736" w:type="dxa"/>
          </w:tcPr>
          <w:p w:rsidR="007A0481" w:rsidRPr="00546EF8" w:rsidRDefault="009B087B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736" w:type="dxa"/>
          </w:tcPr>
          <w:p w:rsidR="007A0481" w:rsidRPr="00546EF8" w:rsidRDefault="009B087B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CE2722" w:rsidRPr="00546EF8" w:rsidTr="00515FCE">
        <w:trPr>
          <w:trHeight w:val="460"/>
        </w:trPr>
        <w:tc>
          <w:tcPr>
            <w:tcW w:w="567" w:type="dxa"/>
            <w:vMerge w:val="restart"/>
          </w:tcPr>
          <w:p w:rsidR="00CE2722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2.</w:t>
            </w:r>
          </w:p>
        </w:tc>
        <w:tc>
          <w:tcPr>
            <w:tcW w:w="2102" w:type="dxa"/>
            <w:vMerge w:val="restart"/>
          </w:tcPr>
          <w:p w:rsidR="00CE2722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  <w:r w:rsidRPr="006D3F64">
              <w:t>Мероприятия, направленные на повышение уровня доступности</w:t>
            </w:r>
          </w:p>
        </w:tc>
        <w:tc>
          <w:tcPr>
            <w:tcW w:w="5094" w:type="dxa"/>
          </w:tcPr>
          <w:p w:rsidR="00CE2722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  <w:r w:rsidRPr="006D3F64">
              <w:t>Проведение ремонта жилых помещений инвалидов. Улучшение бытовых условий инвалидов, в т.ч. ремонт и устройство электрических, водопроводных, тепловых и канализационных сетей</w:t>
            </w:r>
          </w:p>
        </w:tc>
        <w:tc>
          <w:tcPr>
            <w:tcW w:w="1682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 w:rsidRPr="00546EF8">
              <w:rPr>
                <w:sz w:val="26"/>
                <w:szCs w:val="26"/>
              </w:rPr>
              <w:t>Чел.</w:t>
            </w:r>
          </w:p>
        </w:tc>
        <w:tc>
          <w:tcPr>
            <w:tcW w:w="1621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E2722" w:rsidRPr="00546EF8" w:rsidTr="00515FCE">
        <w:trPr>
          <w:trHeight w:val="460"/>
        </w:trPr>
        <w:tc>
          <w:tcPr>
            <w:tcW w:w="567" w:type="dxa"/>
            <w:vMerge/>
          </w:tcPr>
          <w:p w:rsidR="00CE2722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102" w:type="dxa"/>
            <w:vMerge/>
          </w:tcPr>
          <w:p w:rsidR="00CE2722" w:rsidRPr="006D3F64" w:rsidRDefault="00CE2722" w:rsidP="00054041">
            <w:pPr>
              <w:pStyle w:val="conspluscell"/>
            </w:pPr>
          </w:p>
        </w:tc>
        <w:tc>
          <w:tcPr>
            <w:tcW w:w="5094" w:type="dxa"/>
          </w:tcPr>
          <w:p w:rsidR="00CE2722" w:rsidRPr="006D3F64" w:rsidRDefault="00CE2722" w:rsidP="009B087B">
            <w:pPr>
              <w:pStyle w:val="conspluscell"/>
            </w:pPr>
            <w:r w:rsidRPr="006D3F64">
              <w:t xml:space="preserve">Доступность приоритетных объектов социальной инфраструктуры  </w:t>
            </w:r>
            <w:r>
              <w:t>в сфере культуры</w:t>
            </w:r>
          </w:p>
        </w:tc>
        <w:tc>
          <w:tcPr>
            <w:tcW w:w="1682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объектов</w:t>
            </w:r>
          </w:p>
        </w:tc>
        <w:tc>
          <w:tcPr>
            <w:tcW w:w="1621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E2722" w:rsidRPr="00546EF8" w:rsidTr="00515FCE">
        <w:trPr>
          <w:trHeight w:val="460"/>
        </w:trPr>
        <w:tc>
          <w:tcPr>
            <w:tcW w:w="567" w:type="dxa"/>
            <w:vMerge/>
          </w:tcPr>
          <w:p w:rsidR="00CE2722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102" w:type="dxa"/>
            <w:vMerge/>
          </w:tcPr>
          <w:p w:rsidR="00CE2722" w:rsidRPr="006D3F64" w:rsidRDefault="00CE2722" w:rsidP="00054041">
            <w:pPr>
              <w:pStyle w:val="conspluscell"/>
            </w:pPr>
          </w:p>
        </w:tc>
        <w:tc>
          <w:tcPr>
            <w:tcW w:w="5094" w:type="dxa"/>
          </w:tcPr>
          <w:p w:rsidR="00CE2722" w:rsidRPr="006D3F64" w:rsidRDefault="00CE2722" w:rsidP="009B087B">
            <w:pPr>
              <w:pStyle w:val="conspluscell"/>
            </w:pPr>
            <w:r w:rsidRPr="006D3F64">
              <w:t xml:space="preserve">Доступность приоритетных объектов социальной инфраструктуры  </w:t>
            </w:r>
            <w:r>
              <w:t>в сфере образования</w:t>
            </w:r>
          </w:p>
        </w:tc>
        <w:tc>
          <w:tcPr>
            <w:tcW w:w="1682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объектов</w:t>
            </w:r>
          </w:p>
        </w:tc>
        <w:tc>
          <w:tcPr>
            <w:tcW w:w="1621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B087B" w:rsidRPr="00546EF8" w:rsidTr="00515FCE">
        <w:trPr>
          <w:trHeight w:val="460"/>
        </w:trPr>
        <w:tc>
          <w:tcPr>
            <w:tcW w:w="567" w:type="dxa"/>
          </w:tcPr>
          <w:p w:rsidR="009B087B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02" w:type="dxa"/>
          </w:tcPr>
          <w:p w:rsidR="009B087B" w:rsidRPr="006D3F64" w:rsidRDefault="009B087B" w:rsidP="005557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5094" w:type="dxa"/>
          </w:tcPr>
          <w:p w:rsidR="009B087B" w:rsidRPr="006D3F64" w:rsidRDefault="009B087B" w:rsidP="005557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64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1682" w:type="dxa"/>
          </w:tcPr>
          <w:p w:rsidR="009B087B" w:rsidRPr="00546EF8" w:rsidRDefault="009B087B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проводимых мероприятий</w:t>
            </w:r>
          </w:p>
        </w:tc>
        <w:tc>
          <w:tcPr>
            <w:tcW w:w="1621" w:type="dxa"/>
          </w:tcPr>
          <w:p w:rsidR="009B087B" w:rsidRPr="00546EF8" w:rsidRDefault="009B087B" w:rsidP="0005404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9B087B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9B087B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9B087B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9B087B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E2722" w:rsidRPr="00546EF8" w:rsidTr="00515FCE">
        <w:trPr>
          <w:trHeight w:val="460"/>
        </w:trPr>
        <w:tc>
          <w:tcPr>
            <w:tcW w:w="567" w:type="dxa"/>
            <w:vMerge w:val="restart"/>
          </w:tcPr>
          <w:p w:rsidR="00CE2722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102" w:type="dxa"/>
            <w:vMerge w:val="restart"/>
          </w:tcPr>
          <w:p w:rsidR="00CE2722" w:rsidRPr="006D3F64" w:rsidRDefault="00CE2722" w:rsidP="00054041">
            <w:pPr>
              <w:pStyle w:val="conspluscell"/>
            </w:pPr>
            <w:r w:rsidRPr="006D3F64">
              <w:t>Комплекс информационных, просветительских мероприятий</w:t>
            </w:r>
          </w:p>
        </w:tc>
        <w:tc>
          <w:tcPr>
            <w:tcW w:w="5094" w:type="dxa"/>
          </w:tcPr>
          <w:p w:rsidR="00CE2722" w:rsidRPr="006D3F64" w:rsidRDefault="00CE2722" w:rsidP="00054041">
            <w:pPr>
              <w:pStyle w:val="conspluscell"/>
            </w:pPr>
            <w:r w:rsidRPr="006D3F64">
              <w:t>Проведение совещаний, круглых столов по проблемам инвалидов и инвалидности</w:t>
            </w:r>
          </w:p>
        </w:tc>
        <w:tc>
          <w:tcPr>
            <w:tcW w:w="1682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проводимых мероприятий</w:t>
            </w:r>
          </w:p>
        </w:tc>
        <w:tc>
          <w:tcPr>
            <w:tcW w:w="1621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E2722" w:rsidRPr="00546EF8" w:rsidTr="00515FCE">
        <w:trPr>
          <w:trHeight w:val="460"/>
        </w:trPr>
        <w:tc>
          <w:tcPr>
            <w:tcW w:w="567" w:type="dxa"/>
            <w:vMerge/>
          </w:tcPr>
          <w:p w:rsidR="00CE2722" w:rsidRPr="00546EF8" w:rsidRDefault="00CE2722" w:rsidP="00054041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102" w:type="dxa"/>
            <w:vMerge/>
          </w:tcPr>
          <w:p w:rsidR="00CE2722" w:rsidRPr="006D3F64" w:rsidRDefault="00CE2722" w:rsidP="00054041">
            <w:pPr>
              <w:pStyle w:val="conspluscell"/>
            </w:pPr>
          </w:p>
        </w:tc>
        <w:tc>
          <w:tcPr>
            <w:tcW w:w="5094" w:type="dxa"/>
          </w:tcPr>
          <w:p w:rsidR="00CE2722" w:rsidRPr="006D3F64" w:rsidRDefault="00CE2722" w:rsidP="00054041">
            <w:pPr>
              <w:pStyle w:val="conspluscell"/>
            </w:pPr>
            <w:r w:rsidRPr="006D3F64">
              <w:t>Формирование благоприятного общественного мнения в отношении инвалидов через СМИ, информационное освещение проблем инвалидов</w:t>
            </w:r>
          </w:p>
        </w:tc>
        <w:tc>
          <w:tcPr>
            <w:tcW w:w="1682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выпущенных статей</w:t>
            </w:r>
          </w:p>
        </w:tc>
        <w:tc>
          <w:tcPr>
            <w:tcW w:w="1621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6" w:type="dxa"/>
          </w:tcPr>
          <w:p w:rsidR="00CE2722" w:rsidRPr="00546EF8" w:rsidRDefault="00CE2722" w:rsidP="0005404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7A0481" w:rsidRPr="00546EF8" w:rsidRDefault="007A0481" w:rsidP="007A048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9621F" w:rsidRPr="00546EF8" w:rsidRDefault="0049621F">
      <w:pPr>
        <w:rPr>
          <w:rFonts w:ascii="Times New Roman" w:hAnsi="Times New Roman" w:cs="Times New Roman"/>
          <w:sz w:val="26"/>
          <w:szCs w:val="26"/>
        </w:rPr>
      </w:pPr>
    </w:p>
    <w:sectPr w:rsidR="0049621F" w:rsidRPr="00546EF8" w:rsidSect="003109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AAD"/>
    <w:multiLevelType w:val="hybridMultilevel"/>
    <w:tmpl w:val="32984DA0"/>
    <w:lvl w:ilvl="0" w:tplc="866AF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E2121"/>
    <w:multiLevelType w:val="hybridMultilevel"/>
    <w:tmpl w:val="59266756"/>
    <w:lvl w:ilvl="0" w:tplc="56EE605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D72751"/>
    <w:multiLevelType w:val="hybridMultilevel"/>
    <w:tmpl w:val="1D5A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0481"/>
    <w:rsid w:val="00001434"/>
    <w:rsid w:val="00055E95"/>
    <w:rsid w:val="00090B87"/>
    <w:rsid w:val="000F3321"/>
    <w:rsid w:val="0012499C"/>
    <w:rsid w:val="001F13D1"/>
    <w:rsid w:val="001F7406"/>
    <w:rsid w:val="002010BD"/>
    <w:rsid w:val="002013CF"/>
    <w:rsid w:val="00230F17"/>
    <w:rsid w:val="00250390"/>
    <w:rsid w:val="00286C64"/>
    <w:rsid w:val="002A56C8"/>
    <w:rsid w:val="002A6207"/>
    <w:rsid w:val="002B1B72"/>
    <w:rsid w:val="0031764E"/>
    <w:rsid w:val="003B5A08"/>
    <w:rsid w:val="00492AAA"/>
    <w:rsid w:val="0049621F"/>
    <w:rsid w:val="004C2C48"/>
    <w:rsid w:val="004D6458"/>
    <w:rsid w:val="004E4A3F"/>
    <w:rsid w:val="00515FCE"/>
    <w:rsid w:val="00546EF8"/>
    <w:rsid w:val="00587FBD"/>
    <w:rsid w:val="005E4045"/>
    <w:rsid w:val="00601487"/>
    <w:rsid w:val="006332DC"/>
    <w:rsid w:val="0068553B"/>
    <w:rsid w:val="006A3F8E"/>
    <w:rsid w:val="006B2BB7"/>
    <w:rsid w:val="006C6E5F"/>
    <w:rsid w:val="006D3F64"/>
    <w:rsid w:val="00722F90"/>
    <w:rsid w:val="00765E6A"/>
    <w:rsid w:val="00785136"/>
    <w:rsid w:val="007A019D"/>
    <w:rsid w:val="007A0481"/>
    <w:rsid w:val="008053CF"/>
    <w:rsid w:val="008132B6"/>
    <w:rsid w:val="00837924"/>
    <w:rsid w:val="00842690"/>
    <w:rsid w:val="008B0A81"/>
    <w:rsid w:val="00954671"/>
    <w:rsid w:val="009A61EF"/>
    <w:rsid w:val="009B087B"/>
    <w:rsid w:val="00AD1A30"/>
    <w:rsid w:val="00B33E3E"/>
    <w:rsid w:val="00BB1BD4"/>
    <w:rsid w:val="00C25389"/>
    <w:rsid w:val="00C43E5C"/>
    <w:rsid w:val="00CC47C4"/>
    <w:rsid w:val="00CE2722"/>
    <w:rsid w:val="00D44A21"/>
    <w:rsid w:val="00D6268A"/>
    <w:rsid w:val="00DC5612"/>
    <w:rsid w:val="00E46FB8"/>
    <w:rsid w:val="00EA2197"/>
    <w:rsid w:val="00EE6D86"/>
    <w:rsid w:val="00F0035E"/>
    <w:rsid w:val="00F9117E"/>
    <w:rsid w:val="00F9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7A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A048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A048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basedOn w:val="a"/>
    <w:rsid w:val="007A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A0481"/>
    <w:pPr>
      <w:ind w:left="720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1"/>
    <w:locked/>
    <w:rsid w:val="00BB1BD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B1BD4"/>
    <w:pPr>
      <w:widowControl w:val="0"/>
      <w:shd w:val="clear" w:color="auto" w:fill="FFFFFF"/>
      <w:spacing w:before="360" w:after="360" w:line="240" w:lineRule="atLeast"/>
    </w:pPr>
    <w:rPr>
      <w:sz w:val="28"/>
      <w:szCs w:val="28"/>
      <w:shd w:val="clear" w:color="auto" w:fill="FFFFFF"/>
    </w:rPr>
  </w:style>
  <w:style w:type="table" w:styleId="a6">
    <w:name w:val="Table Grid"/>
    <w:basedOn w:val="a1"/>
    <w:uiPriority w:val="59"/>
    <w:rsid w:val="006D3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link w:val="Normal"/>
    <w:rsid w:val="0068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азвание1"/>
    <w:basedOn w:val="10"/>
    <w:rsid w:val="0068553B"/>
    <w:pPr>
      <w:jc w:val="center"/>
    </w:pPr>
    <w:rPr>
      <w:b/>
      <w:sz w:val="28"/>
    </w:rPr>
  </w:style>
  <w:style w:type="paragraph" w:styleId="a7">
    <w:name w:val="caption"/>
    <w:basedOn w:val="a"/>
    <w:qFormat/>
    <w:rsid w:val="0068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0"/>
    <w:rsid w:val="0068553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68553B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68553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Анна</cp:lastModifiedBy>
  <cp:revision>23</cp:revision>
  <cp:lastPrinted>2015-02-04T08:48:00Z</cp:lastPrinted>
  <dcterms:created xsi:type="dcterms:W3CDTF">2014-12-26T08:02:00Z</dcterms:created>
  <dcterms:modified xsi:type="dcterms:W3CDTF">2015-03-03T05:20:00Z</dcterms:modified>
</cp:coreProperties>
</file>